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Real Job Picture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Anecdotally, we hear that anybody who wants to find a job today will find him/herself in a competitive bidding situation.  There are articles that advise job seekers on how to manage competing salary offers, while articles for employers offer advice on how to avert bidding wars for valuable members of their staff.  Other articles simply say to current workers that this is a good time to ask for a raise.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 what, exactly, is the job situation here in the U.S.?  The most recent report from the Bureau of Labor Statistics shows that the U.S. unemployment rate stands at 4.6%, trending downward, but still above the record low 3.2% before the pandemic hit.  The good news is that this is down from an absurdly high 15% unemployment rate as recently as April 2020.</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But if you dig a little deeper into the numbers, you find that 1.1 million workers are still on temporary layoff, down from 18 million in April 2020, but hardly budging over the last six months.  The number of long-term unemployed (jobless for 27 weeks or more) still stands at 2.3 million, and the labor force participation rate has hardly moved since June 2020, now at 61.6% of people who are at employment-appropriate ages.  Before the pandemic, in February of 2020, a total of 5 million workers were considered not in the labor force but currently wanted a job.  That number today is 6 million, and they are not counted as unemployed because they have stopped actively looking for work.</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Overall, average hourly earnings for all employees are trending upward, but hardly at levels which would suggest a bidding war.  The average was up by 4.9% over the past year, up 11 cents in the past three months, to $30.96 an hour.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These statistics suggest that the anecdotal reports we</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ve been hearing are just that: stories taken out of context in an economy that is clearly recovering, but nowhere near the tipping point where all workers have the upper hand and employers are desperate.  The tipping point may be nearest, and the stories may be most likely to come from workers with a college bachelor</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degree (2.4% unemployment rate currently), while high school dropouts are still coping with a 7.4% unemployment rate, and high school graduates are 5.4% unemployed.</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rtl w:val="0"/>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"https://www.bls.gov/news.release/pdf/empsit.pdf"</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https://www.bls.gov/news.release/pdf/empsit.pdf</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