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001C0" w14:textId="77777777" w:rsidR="00336A89" w:rsidRPr="00CF36D9" w:rsidRDefault="00336A89">
      <w:pPr>
        <w:pStyle w:val="Default"/>
        <w:spacing w:before="0" w:line="280" w:lineRule="atLeast"/>
        <w:rPr>
          <w:color w:val="1A1A1A"/>
          <w:sz w:val="28"/>
          <w:szCs w:val="28"/>
          <w:shd w:val="clear" w:color="auto" w:fill="FFFFFF"/>
        </w:rPr>
      </w:pPr>
    </w:p>
    <w:p w14:paraId="7E2FC07E" w14:textId="14E8B8E5" w:rsidR="00336A89" w:rsidRPr="00CF36D9" w:rsidRDefault="000D22C6">
      <w:pPr>
        <w:pStyle w:val="Default"/>
        <w:spacing w:before="0" w:line="280" w:lineRule="atLeast"/>
        <w:rPr>
          <w:color w:val="1A1A1A"/>
          <w:sz w:val="28"/>
          <w:szCs w:val="28"/>
          <w:shd w:val="clear" w:color="auto" w:fill="FFFFFF"/>
        </w:rPr>
      </w:pPr>
      <w:r w:rsidRPr="00CF36D9">
        <w:rPr>
          <w:color w:val="1A1A1A"/>
          <w:sz w:val="28"/>
          <w:szCs w:val="28"/>
          <w:shd w:val="clear" w:color="auto" w:fill="FFFFFF"/>
        </w:rPr>
        <w:t>202</w:t>
      </w:r>
      <w:r w:rsidR="00CE3048" w:rsidRPr="00CF36D9">
        <w:rPr>
          <w:color w:val="1A1A1A"/>
          <w:sz w:val="28"/>
          <w:szCs w:val="28"/>
          <w:shd w:val="clear" w:color="auto" w:fill="FFFFFF"/>
        </w:rPr>
        <w:t>2</w:t>
      </w:r>
      <w:r w:rsidRPr="00CF36D9">
        <w:rPr>
          <w:color w:val="1A1A1A"/>
          <w:sz w:val="28"/>
          <w:szCs w:val="28"/>
          <w:shd w:val="clear" w:color="auto" w:fill="FFFFFF"/>
        </w:rPr>
        <w:t xml:space="preserve"> Investment Report</w:t>
      </w:r>
    </w:p>
    <w:p w14:paraId="08F8A640" w14:textId="77777777" w:rsidR="00336A89" w:rsidRPr="00CF36D9" w:rsidRDefault="00336A89">
      <w:pPr>
        <w:pStyle w:val="Default"/>
        <w:spacing w:before="0" w:line="280" w:lineRule="atLeast"/>
        <w:rPr>
          <w:color w:val="1A1A1A"/>
          <w:sz w:val="28"/>
          <w:szCs w:val="28"/>
          <w:shd w:val="clear" w:color="auto" w:fill="FFFFFF"/>
        </w:rPr>
      </w:pPr>
    </w:p>
    <w:p w14:paraId="460EAC82" w14:textId="0A17A3BA" w:rsidR="00336A89" w:rsidRPr="00CF36D9" w:rsidRDefault="00B5248B">
      <w:pPr>
        <w:pStyle w:val="Default"/>
        <w:spacing w:before="0" w:line="280" w:lineRule="atLeast"/>
        <w:rPr>
          <w:color w:val="1A1A1A"/>
          <w:sz w:val="28"/>
          <w:szCs w:val="28"/>
          <w:shd w:val="clear" w:color="auto" w:fill="FFFFFF"/>
        </w:rPr>
      </w:pPr>
      <w:r w:rsidRPr="00CF36D9">
        <w:rPr>
          <w:color w:val="1A1A1A"/>
          <w:sz w:val="28"/>
          <w:szCs w:val="28"/>
          <w:shd w:val="clear" w:color="auto" w:fill="FFFFFF"/>
        </w:rPr>
        <w:t xml:space="preserve">Many investors </w:t>
      </w:r>
      <w:r w:rsidR="00CF36D9">
        <w:rPr>
          <w:color w:val="1A1A1A"/>
          <w:sz w:val="28"/>
          <w:szCs w:val="28"/>
          <w:shd w:val="clear" w:color="auto" w:fill="FFFFFF"/>
        </w:rPr>
        <w:t>are no doubt</w:t>
      </w:r>
      <w:r w:rsidRPr="00CF36D9">
        <w:rPr>
          <w:color w:val="1A1A1A"/>
          <w:sz w:val="28"/>
          <w:szCs w:val="28"/>
          <w:shd w:val="clear" w:color="auto" w:fill="FFFFFF"/>
        </w:rPr>
        <w:t xml:space="preserve"> glad to see 2022 in the </w:t>
      </w:r>
      <w:proofErr w:type="gramStart"/>
      <w:r w:rsidRPr="00CF36D9">
        <w:rPr>
          <w:color w:val="1A1A1A"/>
          <w:sz w:val="28"/>
          <w:szCs w:val="28"/>
          <w:shd w:val="clear" w:color="auto" w:fill="FFFFFF"/>
        </w:rPr>
        <w:t>rear view</w:t>
      </w:r>
      <w:proofErr w:type="gramEnd"/>
      <w:r w:rsidRPr="00CF36D9">
        <w:rPr>
          <w:color w:val="1A1A1A"/>
          <w:sz w:val="28"/>
          <w:szCs w:val="28"/>
          <w:shd w:val="clear" w:color="auto" w:fill="FFFFFF"/>
        </w:rPr>
        <w:t xml:space="preserve"> mirror, and</w:t>
      </w:r>
      <w:r w:rsidR="00CF36D9">
        <w:rPr>
          <w:color w:val="1A1A1A"/>
          <w:sz w:val="28"/>
          <w:szCs w:val="28"/>
          <w:shd w:val="clear" w:color="auto" w:fill="FFFFFF"/>
        </w:rPr>
        <w:t xml:space="preserve"> if they do look back,</w:t>
      </w:r>
      <w:r w:rsidRPr="00CF36D9">
        <w:rPr>
          <w:color w:val="1A1A1A"/>
          <w:sz w:val="28"/>
          <w:szCs w:val="28"/>
          <w:shd w:val="clear" w:color="auto" w:fill="FFFFFF"/>
        </w:rPr>
        <w:t xml:space="preserve"> the picture is not pretty.  Stocks were buffeted by the Federal Reserve Board's aggressive rate hikes (the fastest since the 1980s stagflation era) and the reverse of the QE policies which, for a decade or more, flooded the markets with liquidity.  It didn't help that there were persistent fears of a recession</w:t>
      </w:r>
      <w:r w:rsidR="00CF36D9">
        <w:rPr>
          <w:color w:val="1A1A1A"/>
          <w:sz w:val="28"/>
          <w:szCs w:val="28"/>
          <w:shd w:val="clear" w:color="auto" w:fill="FFFFFF"/>
        </w:rPr>
        <w:t xml:space="preserve"> all through the last 12 months,</w:t>
      </w:r>
      <w:r w:rsidRPr="00CF36D9">
        <w:rPr>
          <w:color w:val="1A1A1A"/>
          <w:sz w:val="28"/>
          <w:szCs w:val="28"/>
          <w:shd w:val="clear" w:color="auto" w:fill="FFFFFF"/>
        </w:rPr>
        <w:t xml:space="preserve"> and </w:t>
      </w:r>
      <w:r w:rsidR="00CF36D9">
        <w:rPr>
          <w:color w:val="1A1A1A"/>
          <w:sz w:val="28"/>
          <w:szCs w:val="28"/>
          <w:shd w:val="clear" w:color="auto" w:fill="FFFFFF"/>
        </w:rPr>
        <w:t>a certain level of alarm</w:t>
      </w:r>
      <w:r w:rsidRPr="00CF36D9">
        <w:rPr>
          <w:color w:val="1A1A1A"/>
          <w:sz w:val="28"/>
          <w:szCs w:val="28"/>
          <w:shd w:val="clear" w:color="auto" w:fill="FFFFFF"/>
        </w:rPr>
        <w:t xml:space="preserve"> over the Russia-Ukraine war.  </w:t>
      </w:r>
      <w:r w:rsidR="00CF36D9">
        <w:rPr>
          <w:color w:val="1A1A1A"/>
          <w:sz w:val="28"/>
          <w:szCs w:val="28"/>
          <w:shd w:val="clear" w:color="auto" w:fill="FFFFFF"/>
        </w:rPr>
        <w:t>2022 saw the</w:t>
      </w:r>
      <w:r w:rsidRPr="00CF36D9">
        <w:rPr>
          <w:color w:val="1A1A1A"/>
          <w:sz w:val="28"/>
          <w:szCs w:val="28"/>
          <w:shd w:val="clear" w:color="auto" w:fill="FFFFFF"/>
        </w:rPr>
        <w:t xml:space="preserve"> three main stock indexes post their first yearly drop since 2018, and market economists with long memories were comparing</w:t>
      </w:r>
      <w:r w:rsidR="004C71CE" w:rsidRPr="00CF36D9">
        <w:rPr>
          <w:color w:val="1A1A1A"/>
          <w:sz w:val="28"/>
          <w:szCs w:val="28"/>
          <w:shd w:val="clear" w:color="auto" w:fill="FFFFFF"/>
        </w:rPr>
        <w:t xml:space="preserve"> this perfect storm of headwinds</w:t>
      </w:r>
      <w:r w:rsidRPr="00CF36D9">
        <w:rPr>
          <w:color w:val="1A1A1A"/>
          <w:sz w:val="28"/>
          <w:szCs w:val="28"/>
          <w:shd w:val="clear" w:color="auto" w:fill="FFFFFF"/>
        </w:rPr>
        <w:t xml:space="preserve"> to the declines triggered by the 2008 financial crisis.</w:t>
      </w:r>
    </w:p>
    <w:p w14:paraId="3BFCC71A" w14:textId="77777777" w:rsidR="00336A89" w:rsidRPr="00CF36D9" w:rsidRDefault="00336A89">
      <w:pPr>
        <w:pStyle w:val="Default"/>
        <w:spacing w:before="0" w:line="280" w:lineRule="atLeast"/>
        <w:rPr>
          <w:color w:val="1A1A1A"/>
          <w:sz w:val="28"/>
          <w:szCs w:val="28"/>
          <w:shd w:val="clear" w:color="auto" w:fill="FFFFFF"/>
        </w:rPr>
      </w:pPr>
    </w:p>
    <w:p w14:paraId="6B6EFC0C" w14:textId="17BACAE3" w:rsidR="00336A89" w:rsidRPr="00CF36D9" w:rsidRDefault="000D22C6">
      <w:pPr>
        <w:pStyle w:val="Default"/>
        <w:spacing w:before="0"/>
        <w:rPr>
          <w:sz w:val="28"/>
          <w:szCs w:val="28"/>
        </w:rPr>
      </w:pPr>
      <w:r w:rsidRPr="00CF36D9">
        <w:rPr>
          <w:sz w:val="28"/>
          <w:szCs w:val="28"/>
        </w:rPr>
        <w:t>A breakdown shows that just about every U.S. i</w:t>
      </w:r>
      <w:r w:rsidRPr="00CF36D9">
        <w:rPr>
          <w:sz w:val="28"/>
          <w:szCs w:val="28"/>
        </w:rPr>
        <w:t xml:space="preserve">nvestment asset was </w:t>
      </w:r>
      <w:r w:rsidR="00CF36D9">
        <w:rPr>
          <w:sz w:val="28"/>
          <w:szCs w:val="28"/>
        </w:rPr>
        <w:t>showing double-digit declines</w:t>
      </w:r>
      <w:r w:rsidRPr="00CF36D9">
        <w:rPr>
          <w:sz w:val="28"/>
          <w:szCs w:val="28"/>
        </w:rPr>
        <w:t xml:space="preserve">.  The Wilshire 5000 Total Market Index—the broadest measure of U.S. stocks—gained </w:t>
      </w:r>
      <w:r w:rsidR="004C71CE" w:rsidRPr="00CF36D9">
        <w:rPr>
          <w:sz w:val="28"/>
          <w:szCs w:val="28"/>
        </w:rPr>
        <w:t>7.10</w:t>
      </w:r>
      <w:r w:rsidRPr="00CF36D9">
        <w:rPr>
          <w:sz w:val="28"/>
          <w:szCs w:val="28"/>
        </w:rPr>
        <w:t xml:space="preserve">% in the 4th quarter, </w:t>
      </w:r>
      <w:r w:rsidR="004C71CE" w:rsidRPr="00CF36D9">
        <w:rPr>
          <w:sz w:val="28"/>
          <w:szCs w:val="28"/>
        </w:rPr>
        <w:t>but ended</w:t>
      </w:r>
      <w:r w:rsidRPr="00CF36D9">
        <w:rPr>
          <w:sz w:val="28"/>
          <w:szCs w:val="28"/>
        </w:rPr>
        <w:t xml:space="preserve"> the year with a </w:t>
      </w:r>
      <w:r w:rsidR="004C71CE" w:rsidRPr="00CF36D9">
        <w:rPr>
          <w:sz w:val="28"/>
          <w:szCs w:val="28"/>
        </w:rPr>
        <w:t>19.04</w:t>
      </w:r>
      <w:r w:rsidRPr="00CF36D9">
        <w:rPr>
          <w:sz w:val="28"/>
          <w:szCs w:val="28"/>
        </w:rPr>
        <w:t xml:space="preserve">% </w:t>
      </w:r>
      <w:r w:rsidR="004C71CE" w:rsidRPr="00CF36D9">
        <w:rPr>
          <w:sz w:val="28"/>
          <w:szCs w:val="28"/>
        </w:rPr>
        <w:t>loss</w:t>
      </w:r>
      <w:r w:rsidRPr="00CF36D9">
        <w:rPr>
          <w:sz w:val="28"/>
          <w:szCs w:val="28"/>
        </w:rPr>
        <w:t xml:space="preserve">.  The comparable Russell 3000 index was </w:t>
      </w:r>
      <w:r w:rsidR="008F27E2" w:rsidRPr="00CF36D9">
        <w:rPr>
          <w:sz w:val="28"/>
          <w:szCs w:val="28"/>
        </w:rPr>
        <w:t>down 19.</w:t>
      </w:r>
      <w:r w:rsidR="00B5248B" w:rsidRPr="00CF36D9">
        <w:rPr>
          <w:sz w:val="28"/>
          <w:szCs w:val="28"/>
        </w:rPr>
        <w:t>21</w:t>
      </w:r>
      <w:r w:rsidRPr="00CF36D9">
        <w:rPr>
          <w:sz w:val="28"/>
          <w:szCs w:val="28"/>
        </w:rPr>
        <w:t>% for the</w:t>
      </w:r>
      <w:r w:rsidR="00B5248B" w:rsidRPr="00CF36D9">
        <w:rPr>
          <w:sz w:val="28"/>
          <w:szCs w:val="28"/>
        </w:rPr>
        <w:t xml:space="preserve"> year</w:t>
      </w:r>
      <w:r w:rsidRPr="00CF36D9">
        <w:rPr>
          <w:sz w:val="28"/>
          <w:szCs w:val="28"/>
        </w:rPr>
        <w:t xml:space="preserve">.  </w:t>
      </w:r>
    </w:p>
    <w:p w14:paraId="1BC83CC4" w14:textId="77777777" w:rsidR="00336A89" w:rsidRPr="00CF36D9" w:rsidRDefault="00336A89">
      <w:pPr>
        <w:pStyle w:val="Default"/>
        <w:spacing w:before="0"/>
        <w:rPr>
          <w:sz w:val="28"/>
          <w:szCs w:val="28"/>
        </w:rPr>
      </w:pPr>
    </w:p>
    <w:p w14:paraId="6BCFEDF6" w14:textId="34AE7864" w:rsidR="00336A89" w:rsidRPr="00CF36D9" w:rsidRDefault="000D22C6">
      <w:pPr>
        <w:pStyle w:val="Default"/>
        <w:spacing w:before="0"/>
        <w:rPr>
          <w:sz w:val="28"/>
          <w:szCs w:val="28"/>
        </w:rPr>
      </w:pPr>
      <w:r w:rsidRPr="00CF36D9">
        <w:rPr>
          <w:sz w:val="28"/>
          <w:szCs w:val="28"/>
        </w:rPr>
        <w:t xml:space="preserve">Looking at large cap stocks, the Wilshire U.S. 2500 Large Cap index was up </w:t>
      </w:r>
      <w:r w:rsidR="004C71CE" w:rsidRPr="00CF36D9">
        <w:rPr>
          <w:sz w:val="28"/>
          <w:szCs w:val="28"/>
        </w:rPr>
        <w:t>7.12</w:t>
      </w:r>
      <w:r w:rsidRPr="00CF36D9">
        <w:rPr>
          <w:sz w:val="28"/>
          <w:szCs w:val="28"/>
        </w:rPr>
        <w:t xml:space="preserve">% in the fourth quarter, </w:t>
      </w:r>
      <w:r w:rsidR="004C71CE" w:rsidRPr="00CF36D9">
        <w:rPr>
          <w:sz w:val="28"/>
          <w:szCs w:val="28"/>
        </w:rPr>
        <w:t>but still posted a 19.00% loss for 2022</w:t>
      </w:r>
      <w:r w:rsidRPr="00CF36D9">
        <w:rPr>
          <w:sz w:val="28"/>
          <w:szCs w:val="28"/>
        </w:rPr>
        <w:t xml:space="preserve">.  The Russell 1000 large-cap index finished the year with a similar </w:t>
      </w:r>
      <w:r w:rsidR="004C71CE" w:rsidRPr="00CF36D9">
        <w:rPr>
          <w:sz w:val="28"/>
          <w:szCs w:val="28"/>
        </w:rPr>
        <w:t>19.13</w:t>
      </w:r>
      <w:r w:rsidRPr="00CF36D9">
        <w:rPr>
          <w:sz w:val="28"/>
          <w:szCs w:val="28"/>
        </w:rPr>
        <w:t xml:space="preserve">% </w:t>
      </w:r>
      <w:r w:rsidR="004C71CE" w:rsidRPr="00CF36D9">
        <w:rPr>
          <w:sz w:val="28"/>
          <w:szCs w:val="28"/>
        </w:rPr>
        <w:t>loss</w:t>
      </w:r>
      <w:r w:rsidRPr="00CF36D9">
        <w:rPr>
          <w:sz w:val="28"/>
          <w:szCs w:val="28"/>
        </w:rPr>
        <w:t xml:space="preserve">, </w:t>
      </w:r>
      <w:r w:rsidRPr="00CF36D9">
        <w:rPr>
          <w:sz w:val="28"/>
          <w:szCs w:val="28"/>
        </w:rPr>
        <w:t xml:space="preserve">while the widely-quoted S&amp;P 500 index of large company stocks gained </w:t>
      </w:r>
      <w:r w:rsidR="004C71CE" w:rsidRPr="00CF36D9">
        <w:rPr>
          <w:sz w:val="28"/>
          <w:szCs w:val="28"/>
        </w:rPr>
        <w:t>7.08</w:t>
      </w:r>
      <w:r w:rsidRPr="00CF36D9">
        <w:rPr>
          <w:sz w:val="28"/>
          <w:szCs w:val="28"/>
        </w:rPr>
        <w:t>% during the y</w:t>
      </w:r>
      <w:r w:rsidRPr="00CF36D9">
        <w:rPr>
          <w:sz w:val="28"/>
          <w:szCs w:val="28"/>
        </w:rPr>
        <w:t>ear</w:t>
      </w:r>
      <w:r w:rsidRPr="00CF36D9">
        <w:rPr>
          <w:sz w:val="28"/>
          <w:szCs w:val="28"/>
        </w:rPr>
        <w:t>’</w:t>
      </w:r>
      <w:r w:rsidRPr="00CF36D9">
        <w:rPr>
          <w:sz w:val="28"/>
          <w:szCs w:val="28"/>
        </w:rPr>
        <w:t xml:space="preserve">s final quarter and overall finished </w:t>
      </w:r>
      <w:r w:rsidR="004C71CE" w:rsidRPr="00CF36D9">
        <w:rPr>
          <w:sz w:val="28"/>
          <w:szCs w:val="28"/>
        </w:rPr>
        <w:t>down 19.44</w:t>
      </w:r>
      <w:r w:rsidRPr="00CF36D9">
        <w:rPr>
          <w:sz w:val="28"/>
          <w:szCs w:val="28"/>
        </w:rPr>
        <w:t>% in calendar 202</w:t>
      </w:r>
      <w:r w:rsidR="004C71CE" w:rsidRPr="00CF36D9">
        <w:rPr>
          <w:sz w:val="28"/>
          <w:szCs w:val="28"/>
        </w:rPr>
        <w:t>2</w:t>
      </w:r>
      <w:r w:rsidRPr="00CF36D9">
        <w:rPr>
          <w:sz w:val="28"/>
          <w:szCs w:val="28"/>
        </w:rPr>
        <w:t xml:space="preserve">.   </w:t>
      </w:r>
    </w:p>
    <w:p w14:paraId="22E8F081" w14:textId="77777777" w:rsidR="00336A89" w:rsidRPr="00CF36D9" w:rsidRDefault="00336A89">
      <w:pPr>
        <w:pStyle w:val="Default"/>
        <w:spacing w:before="0"/>
        <w:rPr>
          <w:sz w:val="28"/>
          <w:szCs w:val="28"/>
        </w:rPr>
      </w:pPr>
    </w:p>
    <w:p w14:paraId="5D5F3B56" w14:textId="7D51A726" w:rsidR="00336A89" w:rsidRPr="00CF36D9" w:rsidRDefault="000D22C6">
      <w:pPr>
        <w:pStyle w:val="Default"/>
        <w:spacing w:before="0"/>
        <w:rPr>
          <w:sz w:val="28"/>
          <w:szCs w:val="28"/>
        </w:rPr>
      </w:pPr>
      <w:r w:rsidRPr="00CF36D9">
        <w:rPr>
          <w:sz w:val="28"/>
          <w:szCs w:val="28"/>
        </w:rPr>
        <w:t>Meanwhile, the Russell Midcap Index finished the 202</w:t>
      </w:r>
      <w:r w:rsidR="004C71CE" w:rsidRPr="00CF36D9">
        <w:rPr>
          <w:sz w:val="28"/>
          <w:szCs w:val="28"/>
        </w:rPr>
        <w:t>2</w:t>
      </w:r>
      <w:r w:rsidRPr="00CF36D9">
        <w:rPr>
          <w:sz w:val="28"/>
          <w:szCs w:val="28"/>
        </w:rPr>
        <w:t xml:space="preserve"> calendar year </w:t>
      </w:r>
      <w:r w:rsidR="004C71CE" w:rsidRPr="00CF36D9">
        <w:rPr>
          <w:sz w:val="28"/>
          <w:szCs w:val="28"/>
        </w:rPr>
        <w:t>down 17.32</w:t>
      </w:r>
      <w:r w:rsidRPr="00CF36D9">
        <w:rPr>
          <w:sz w:val="28"/>
          <w:szCs w:val="28"/>
        </w:rPr>
        <w:t>%.</w:t>
      </w:r>
    </w:p>
    <w:p w14:paraId="29742E1B" w14:textId="77777777" w:rsidR="00336A89" w:rsidRPr="00CF36D9" w:rsidRDefault="00336A89">
      <w:pPr>
        <w:pStyle w:val="Default"/>
        <w:spacing w:before="0"/>
        <w:rPr>
          <w:sz w:val="28"/>
          <w:szCs w:val="28"/>
        </w:rPr>
      </w:pPr>
    </w:p>
    <w:p w14:paraId="69198FCF" w14:textId="4BA7405C" w:rsidR="00336A89" w:rsidRPr="00CF36D9" w:rsidRDefault="000D22C6">
      <w:pPr>
        <w:pStyle w:val="Default"/>
        <w:spacing w:before="0"/>
        <w:rPr>
          <w:sz w:val="28"/>
          <w:szCs w:val="28"/>
        </w:rPr>
      </w:pPr>
      <w:r w:rsidRPr="00CF36D9">
        <w:rPr>
          <w:sz w:val="28"/>
          <w:szCs w:val="28"/>
        </w:rPr>
        <w:t xml:space="preserve">As measured by the Wilshire U.S. Small-Cap index, investors in smaller companies </w:t>
      </w:r>
      <w:r w:rsidR="004C71CE" w:rsidRPr="00CF36D9">
        <w:rPr>
          <w:sz w:val="28"/>
          <w:szCs w:val="28"/>
        </w:rPr>
        <w:t>received a 7.77% gain for the last quarter, but were still down</w:t>
      </w:r>
      <w:r w:rsidRPr="00CF36D9">
        <w:rPr>
          <w:sz w:val="28"/>
          <w:szCs w:val="28"/>
        </w:rPr>
        <w:t xml:space="preserve"> </w:t>
      </w:r>
      <w:r w:rsidR="004C71CE" w:rsidRPr="00CF36D9">
        <w:rPr>
          <w:sz w:val="28"/>
          <w:szCs w:val="28"/>
        </w:rPr>
        <w:t>17.50</w:t>
      </w:r>
      <w:r w:rsidRPr="00CF36D9">
        <w:rPr>
          <w:sz w:val="28"/>
          <w:szCs w:val="28"/>
        </w:rPr>
        <w:t xml:space="preserve">% </w:t>
      </w:r>
      <w:r w:rsidRPr="00CF36D9">
        <w:rPr>
          <w:sz w:val="28"/>
          <w:szCs w:val="28"/>
        </w:rPr>
        <w:t>fo</w:t>
      </w:r>
      <w:r w:rsidRPr="00CF36D9">
        <w:rPr>
          <w:sz w:val="28"/>
          <w:szCs w:val="28"/>
        </w:rPr>
        <w:t xml:space="preserve">r the </w:t>
      </w:r>
      <w:r w:rsidRPr="00CF36D9">
        <w:rPr>
          <w:sz w:val="28"/>
          <w:szCs w:val="28"/>
        </w:rPr>
        <w:t xml:space="preserve">year.  The comparable Russell 2000 Small-Cap Index posted a </w:t>
      </w:r>
      <w:r w:rsidR="004C71CE" w:rsidRPr="00CF36D9">
        <w:rPr>
          <w:sz w:val="28"/>
          <w:szCs w:val="28"/>
        </w:rPr>
        <w:t>20.44</w:t>
      </w:r>
      <w:r w:rsidRPr="00CF36D9">
        <w:rPr>
          <w:sz w:val="28"/>
          <w:szCs w:val="28"/>
        </w:rPr>
        <w:t xml:space="preserve">% </w:t>
      </w:r>
      <w:r w:rsidR="004C71CE" w:rsidRPr="00CF36D9">
        <w:rPr>
          <w:sz w:val="28"/>
          <w:szCs w:val="28"/>
        </w:rPr>
        <w:t>loss</w:t>
      </w:r>
      <w:r w:rsidRPr="00CF36D9">
        <w:rPr>
          <w:sz w:val="28"/>
          <w:szCs w:val="28"/>
        </w:rPr>
        <w:t xml:space="preserve"> in the past 12 months.  The technology-heavy Nasdaq Composite Index </w:t>
      </w:r>
      <w:r w:rsidR="00B252B7" w:rsidRPr="00CF36D9">
        <w:rPr>
          <w:sz w:val="28"/>
          <w:szCs w:val="28"/>
        </w:rPr>
        <w:t>was the biggest loser in 2022, dropping 28.27% of its value over the last 12 months.</w:t>
      </w:r>
      <w:r w:rsidRPr="00CF36D9">
        <w:rPr>
          <w:sz w:val="28"/>
          <w:szCs w:val="28"/>
        </w:rPr>
        <w:t xml:space="preserve"> </w:t>
      </w:r>
    </w:p>
    <w:p w14:paraId="14AED56A" w14:textId="77777777" w:rsidR="00336A89" w:rsidRPr="00CF36D9" w:rsidRDefault="00336A89">
      <w:pPr>
        <w:pStyle w:val="Default"/>
        <w:spacing w:before="0"/>
        <w:rPr>
          <w:sz w:val="28"/>
          <w:szCs w:val="28"/>
        </w:rPr>
      </w:pPr>
    </w:p>
    <w:p w14:paraId="123DF57D" w14:textId="36A7875E" w:rsidR="00336A89" w:rsidRPr="00CF36D9" w:rsidRDefault="000D22C6">
      <w:pPr>
        <w:pStyle w:val="Default"/>
        <w:spacing w:before="0"/>
        <w:rPr>
          <w:sz w:val="28"/>
          <w:szCs w:val="28"/>
        </w:rPr>
      </w:pPr>
      <w:r w:rsidRPr="00CF36D9">
        <w:rPr>
          <w:sz w:val="28"/>
          <w:szCs w:val="28"/>
        </w:rPr>
        <w:t>The foreig</w:t>
      </w:r>
      <w:r w:rsidRPr="00CF36D9">
        <w:rPr>
          <w:sz w:val="28"/>
          <w:szCs w:val="28"/>
        </w:rPr>
        <w:t xml:space="preserve">n markets were </w:t>
      </w:r>
      <w:r w:rsidR="00B252B7" w:rsidRPr="00CF36D9">
        <w:rPr>
          <w:sz w:val="28"/>
          <w:szCs w:val="28"/>
        </w:rPr>
        <w:t>no better</w:t>
      </w:r>
      <w:r w:rsidRPr="00CF36D9">
        <w:rPr>
          <w:sz w:val="28"/>
          <w:szCs w:val="28"/>
        </w:rPr>
        <w:t xml:space="preserve">. The broad-based EAFE index of companies in developed foreign economies gained </w:t>
      </w:r>
      <w:r w:rsidR="00B252B7" w:rsidRPr="00CF36D9">
        <w:rPr>
          <w:sz w:val="28"/>
          <w:szCs w:val="28"/>
        </w:rPr>
        <w:t>17.00</w:t>
      </w:r>
      <w:r w:rsidRPr="00CF36D9">
        <w:rPr>
          <w:sz w:val="28"/>
          <w:szCs w:val="28"/>
        </w:rPr>
        <w:t>% in the final quarter of 202</w:t>
      </w:r>
      <w:r w:rsidR="00B252B7" w:rsidRPr="00CF36D9">
        <w:rPr>
          <w:sz w:val="28"/>
          <w:szCs w:val="28"/>
        </w:rPr>
        <w:t>2</w:t>
      </w:r>
      <w:r w:rsidRPr="00CF36D9">
        <w:rPr>
          <w:sz w:val="28"/>
          <w:szCs w:val="28"/>
        </w:rPr>
        <w:t xml:space="preserve">, </w:t>
      </w:r>
      <w:r w:rsidR="00B252B7" w:rsidRPr="00CF36D9">
        <w:rPr>
          <w:sz w:val="28"/>
          <w:szCs w:val="28"/>
        </w:rPr>
        <w:t>but still lost 16.79</w:t>
      </w:r>
      <w:r w:rsidRPr="00CF36D9">
        <w:rPr>
          <w:sz w:val="28"/>
          <w:szCs w:val="28"/>
        </w:rPr>
        <w:t>%</w:t>
      </w:r>
      <w:r w:rsidR="00B252B7" w:rsidRPr="00CF36D9">
        <w:rPr>
          <w:sz w:val="28"/>
          <w:szCs w:val="28"/>
        </w:rPr>
        <w:t xml:space="preserve"> of its value</w:t>
      </w:r>
      <w:r w:rsidRPr="00CF36D9">
        <w:rPr>
          <w:sz w:val="28"/>
          <w:szCs w:val="28"/>
        </w:rPr>
        <w:t xml:space="preserve"> in dollar terms for the year just ended.   In aggregate, European stocks</w:t>
      </w:r>
      <w:r w:rsidRPr="00CF36D9">
        <w:rPr>
          <w:sz w:val="28"/>
          <w:szCs w:val="28"/>
        </w:rPr>
        <w:t xml:space="preserve"> </w:t>
      </w:r>
      <w:r w:rsidR="00B252B7" w:rsidRPr="00CF36D9">
        <w:rPr>
          <w:sz w:val="28"/>
          <w:szCs w:val="28"/>
        </w:rPr>
        <w:t>lost 17.28</w:t>
      </w:r>
      <w:r w:rsidRPr="00CF36D9">
        <w:rPr>
          <w:sz w:val="28"/>
          <w:szCs w:val="28"/>
        </w:rPr>
        <w:t>% in 202</w:t>
      </w:r>
      <w:r w:rsidR="00B252B7" w:rsidRPr="00CF36D9">
        <w:rPr>
          <w:sz w:val="28"/>
          <w:szCs w:val="28"/>
        </w:rPr>
        <w:t>2</w:t>
      </w:r>
      <w:r w:rsidRPr="00CF36D9">
        <w:rPr>
          <w:sz w:val="28"/>
          <w:szCs w:val="28"/>
        </w:rPr>
        <w:t>, while EAFE</w:t>
      </w:r>
      <w:r w:rsidRPr="00CF36D9">
        <w:rPr>
          <w:sz w:val="28"/>
          <w:szCs w:val="28"/>
        </w:rPr>
        <w:t>’</w:t>
      </w:r>
      <w:r w:rsidRPr="00CF36D9">
        <w:rPr>
          <w:sz w:val="28"/>
          <w:szCs w:val="28"/>
        </w:rPr>
        <w:t xml:space="preserve">s Far East Index was down </w:t>
      </w:r>
      <w:r w:rsidR="00B252B7" w:rsidRPr="00CF36D9">
        <w:rPr>
          <w:sz w:val="28"/>
          <w:szCs w:val="28"/>
        </w:rPr>
        <w:t>17.20</w:t>
      </w:r>
      <w:r w:rsidRPr="00CF36D9">
        <w:rPr>
          <w:sz w:val="28"/>
          <w:szCs w:val="28"/>
        </w:rPr>
        <w:t xml:space="preserve">%.  Emerging market stocks of less developed countries, as represented by the EAFE EM index, lost </w:t>
      </w:r>
      <w:r w:rsidR="00287B82" w:rsidRPr="00CF36D9">
        <w:rPr>
          <w:sz w:val="28"/>
          <w:szCs w:val="28"/>
        </w:rPr>
        <w:t>22.37</w:t>
      </w:r>
      <w:r w:rsidRPr="00CF36D9">
        <w:rPr>
          <w:sz w:val="28"/>
          <w:szCs w:val="28"/>
        </w:rPr>
        <w:t xml:space="preserve">% in dollar terms in the year.  </w:t>
      </w:r>
    </w:p>
    <w:p w14:paraId="6DFF75CE" w14:textId="77777777" w:rsidR="00336A89" w:rsidRPr="00CF36D9" w:rsidRDefault="00336A89">
      <w:pPr>
        <w:pStyle w:val="Default"/>
        <w:spacing w:before="0"/>
        <w:rPr>
          <w:sz w:val="28"/>
          <w:szCs w:val="28"/>
        </w:rPr>
      </w:pPr>
    </w:p>
    <w:p w14:paraId="7C573EEB" w14:textId="44EC9AD1" w:rsidR="00336A89" w:rsidRPr="00CF36D9" w:rsidRDefault="00B252B7">
      <w:pPr>
        <w:pStyle w:val="Default"/>
        <w:spacing w:before="0"/>
        <w:rPr>
          <w:rFonts w:ascii="Times New Roman" w:eastAsia="Times New Roman" w:hAnsi="Times New Roman" w:cs="Times New Roman"/>
          <w:sz w:val="28"/>
          <w:szCs w:val="28"/>
        </w:rPr>
      </w:pPr>
      <w:r w:rsidRPr="00CF36D9">
        <w:rPr>
          <w:sz w:val="28"/>
          <w:szCs w:val="28"/>
        </w:rPr>
        <w:t>Real estate securities</w:t>
      </w:r>
      <w:r w:rsidR="000D22C6" w:rsidRPr="00CF36D9">
        <w:rPr>
          <w:sz w:val="28"/>
          <w:szCs w:val="28"/>
        </w:rPr>
        <w:t xml:space="preserve"> produced </w:t>
      </w:r>
      <w:r w:rsidR="004C71CE" w:rsidRPr="00CF36D9">
        <w:rPr>
          <w:sz w:val="28"/>
          <w:szCs w:val="28"/>
        </w:rPr>
        <w:t>even greater losses</w:t>
      </w:r>
      <w:r w:rsidR="000D22C6" w:rsidRPr="00CF36D9">
        <w:rPr>
          <w:sz w:val="28"/>
          <w:szCs w:val="28"/>
        </w:rPr>
        <w:t xml:space="preserve">, albeit for small portions of most investment portfolios.  </w:t>
      </w:r>
      <w:r w:rsidRPr="00CF36D9">
        <w:rPr>
          <w:sz w:val="28"/>
          <w:szCs w:val="28"/>
        </w:rPr>
        <w:t>T</w:t>
      </w:r>
      <w:r w:rsidR="000D22C6" w:rsidRPr="00CF36D9">
        <w:rPr>
          <w:sz w:val="28"/>
          <w:szCs w:val="28"/>
        </w:rPr>
        <w:t>he Wilshire U.S. REIT index</w:t>
      </w:r>
      <w:r w:rsidR="000D22C6" w:rsidRPr="00CF36D9">
        <w:rPr>
          <w:sz w:val="28"/>
          <w:szCs w:val="28"/>
        </w:rPr>
        <w:t xml:space="preserve"> posted </w:t>
      </w:r>
      <w:r w:rsidR="004C71CE" w:rsidRPr="00CF36D9">
        <w:rPr>
          <w:sz w:val="28"/>
          <w:szCs w:val="28"/>
        </w:rPr>
        <w:t xml:space="preserve">a truly awful 26.81% loss </w:t>
      </w:r>
      <w:r w:rsidR="00DC4E1F">
        <w:rPr>
          <w:sz w:val="28"/>
          <w:szCs w:val="28"/>
        </w:rPr>
        <w:t>in 2022</w:t>
      </w:r>
      <w:r w:rsidR="000D22C6" w:rsidRPr="00CF36D9">
        <w:rPr>
          <w:sz w:val="28"/>
          <w:szCs w:val="28"/>
        </w:rPr>
        <w:t>.</w:t>
      </w:r>
      <w:r w:rsidR="000D22C6" w:rsidRPr="00CF36D9">
        <w:rPr>
          <w:sz w:val="28"/>
          <w:szCs w:val="28"/>
        </w:rPr>
        <w:t xml:space="preserve">  </w:t>
      </w:r>
      <w:r w:rsidRPr="00CF36D9">
        <w:rPr>
          <w:sz w:val="28"/>
          <w:szCs w:val="28"/>
        </w:rPr>
        <w:t>But due to</w:t>
      </w:r>
      <w:r w:rsidR="00DC4E1F">
        <w:rPr>
          <w:sz w:val="28"/>
          <w:szCs w:val="28"/>
        </w:rPr>
        <w:t xml:space="preserve"> global</w:t>
      </w:r>
      <w:r w:rsidRPr="00CF36D9">
        <w:rPr>
          <w:sz w:val="28"/>
          <w:szCs w:val="28"/>
        </w:rPr>
        <w:t xml:space="preserve"> increases in oil prices (and </w:t>
      </w:r>
      <w:r w:rsidR="00DC4E1F">
        <w:rPr>
          <w:sz w:val="28"/>
          <w:szCs w:val="28"/>
        </w:rPr>
        <w:t xml:space="preserve">oil company </w:t>
      </w:r>
      <w:r w:rsidRPr="00CF36D9">
        <w:rPr>
          <w:sz w:val="28"/>
          <w:szCs w:val="28"/>
        </w:rPr>
        <w:t>profits), t</w:t>
      </w:r>
      <w:r w:rsidR="000D22C6" w:rsidRPr="00CF36D9">
        <w:rPr>
          <w:sz w:val="28"/>
          <w:szCs w:val="28"/>
        </w:rPr>
        <w:t xml:space="preserve">he S&amp;P GSCI index, which measures commodities returns, </w:t>
      </w:r>
      <w:r w:rsidRPr="00CF36D9">
        <w:rPr>
          <w:sz w:val="28"/>
          <w:szCs w:val="28"/>
        </w:rPr>
        <w:t>eked out a</w:t>
      </w:r>
      <w:r w:rsidR="000D22C6" w:rsidRPr="00CF36D9">
        <w:rPr>
          <w:sz w:val="28"/>
          <w:szCs w:val="28"/>
        </w:rPr>
        <w:t xml:space="preserve"> </w:t>
      </w:r>
      <w:r w:rsidRPr="00CF36D9">
        <w:rPr>
          <w:sz w:val="28"/>
          <w:szCs w:val="28"/>
        </w:rPr>
        <w:t>0.38</w:t>
      </w:r>
      <w:r w:rsidR="000D22C6" w:rsidRPr="00CF36D9">
        <w:rPr>
          <w:sz w:val="28"/>
          <w:szCs w:val="28"/>
        </w:rPr>
        <w:t>%</w:t>
      </w:r>
      <w:r w:rsidRPr="00CF36D9">
        <w:rPr>
          <w:sz w:val="28"/>
          <w:szCs w:val="28"/>
        </w:rPr>
        <w:t xml:space="preserve"> gain</w:t>
      </w:r>
      <w:r w:rsidR="000D22C6" w:rsidRPr="00CF36D9">
        <w:rPr>
          <w:sz w:val="28"/>
          <w:szCs w:val="28"/>
        </w:rPr>
        <w:t xml:space="preserve"> in the 4th quarter, </w:t>
      </w:r>
      <w:r w:rsidRPr="00CF36D9">
        <w:rPr>
          <w:sz w:val="28"/>
          <w:szCs w:val="28"/>
        </w:rPr>
        <w:t>ending</w:t>
      </w:r>
      <w:r w:rsidR="000D22C6" w:rsidRPr="00CF36D9">
        <w:rPr>
          <w:sz w:val="28"/>
          <w:szCs w:val="28"/>
        </w:rPr>
        <w:t xml:space="preserve"> the year up </w:t>
      </w:r>
      <w:r w:rsidRPr="00CF36D9">
        <w:rPr>
          <w:sz w:val="28"/>
          <w:szCs w:val="28"/>
        </w:rPr>
        <w:t>8.71</w:t>
      </w:r>
      <w:r w:rsidR="000D22C6" w:rsidRPr="00CF36D9">
        <w:rPr>
          <w:sz w:val="28"/>
          <w:szCs w:val="28"/>
        </w:rPr>
        <w:t xml:space="preserve">%.  </w:t>
      </w:r>
    </w:p>
    <w:p w14:paraId="3A15AA8B" w14:textId="77777777" w:rsidR="00336A89" w:rsidRPr="00CF36D9" w:rsidRDefault="00336A89">
      <w:pPr>
        <w:pStyle w:val="Default"/>
        <w:spacing w:before="0"/>
        <w:rPr>
          <w:sz w:val="28"/>
          <w:szCs w:val="28"/>
        </w:rPr>
      </w:pPr>
    </w:p>
    <w:p w14:paraId="6C3C62FF" w14:textId="0E50EFE9" w:rsidR="00336A89" w:rsidRPr="00CF36D9" w:rsidRDefault="00176F16">
      <w:pPr>
        <w:pStyle w:val="Default"/>
        <w:spacing w:before="0"/>
        <w:rPr>
          <w:sz w:val="28"/>
          <w:szCs w:val="28"/>
        </w:rPr>
      </w:pPr>
      <w:r w:rsidRPr="00CF36D9">
        <w:rPr>
          <w:sz w:val="28"/>
          <w:szCs w:val="28"/>
        </w:rPr>
        <w:t>Perhaps the most dramatic market movements in 2022 occurred i</w:t>
      </w:r>
      <w:r w:rsidR="000D22C6" w:rsidRPr="00CF36D9">
        <w:rPr>
          <w:sz w:val="28"/>
          <w:szCs w:val="28"/>
        </w:rPr>
        <w:t xml:space="preserve">n the bond markets, </w:t>
      </w:r>
      <w:r w:rsidRPr="00CF36D9">
        <w:rPr>
          <w:sz w:val="28"/>
          <w:szCs w:val="28"/>
        </w:rPr>
        <w:t xml:space="preserve">where </w:t>
      </w:r>
      <w:proofErr w:type="spellStart"/>
      <w:r w:rsidR="000D22C6" w:rsidRPr="00CF36D9">
        <w:rPr>
          <w:sz w:val="28"/>
          <w:szCs w:val="28"/>
        </w:rPr>
        <w:t>yields</w:t>
      </w:r>
      <w:proofErr w:type="spellEnd"/>
      <w:r w:rsidR="000D22C6" w:rsidRPr="00CF36D9">
        <w:rPr>
          <w:sz w:val="28"/>
          <w:szCs w:val="28"/>
        </w:rPr>
        <w:t xml:space="preserve"> on 10-year Treasury bonds rose </w:t>
      </w:r>
      <w:r w:rsidRPr="00CF36D9">
        <w:rPr>
          <w:sz w:val="28"/>
          <w:szCs w:val="28"/>
        </w:rPr>
        <w:t>dramatically over the course of the year</w:t>
      </w:r>
      <w:r w:rsidR="000D22C6" w:rsidRPr="00CF36D9">
        <w:rPr>
          <w:sz w:val="28"/>
          <w:szCs w:val="28"/>
        </w:rPr>
        <w:t xml:space="preserve">, from 0.95% a year ago to </w:t>
      </w:r>
      <w:r w:rsidRPr="00CF36D9">
        <w:rPr>
          <w:sz w:val="28"/>
          <w:szCs w:val="28"/>
        </w:rPr>
        <w:t>3.87</w:t>
      </w:r>
      <w:r w:rsidR="000D22C6" w:rsidRPr="00CF36D9">
        <w:rPr>
          <w:sz w:val="28"/>
          <w:szCs w:val="28"/>
        </w:rPr>
        <w:t>% currently.  30-y</w:t>
      </w:r>
      <w:r w:rsidR="000D22C6" w:rsidRPr="00CF36D9">
        <w:rPr>
          <w:sz w:val="28"/>
          <w:szCs w:val="28"/>
        </w:rPr>
        <w:t xml:space="preserve">ear government bonds </w:t>
      </w:r>
      <w:r w:rsidRPr="00CF36D9">
        <w:rPr>
          <w:sz w:val="28"/>
          <w:szCs w:val="28"/>
        </w:rPr>
        <w:t>rose from</w:t>
      </w:r>
      <w:r w:rsidR="000D22C6" w:rsidRPr="00CF36D9">
        <w:rPr>
          <w:sz w:val="28"/>
          <w:szCs w:val="28"/>
        </w:rPr>
        <w:t xml:space="preserve"> </w:t>
      </w:r>
      <w:r w:rsidR="000D22C6" w:rsidRPr="00CF36D9">
        <w:rPr>
          <w:sz w:val="28"/>
          <w:szCs w:val="28"/>
        </w:rPr>
        <w:t>1.88%</w:t>
      </w:r>
      <w:r w:rsidRPr="00CF36D9">
        <w:rPr>
          <w:sz w:val="28"/>
          <w:szCs w:val="28"/>
        </w:rPr>
        <w:t xml:space="preserve"> yields at this time last year to 3.96%</w:t>
      </w:r>
      <w:r w:rsidR="000D22C6" w:rsidRPr="00CF36D9">
        <w:rPr>
          <w:sz w:val="28"/>
          <w:szCs w:val="28"/>
        </w:rPr>
        <w:t xml:space="preserve">.  Five-year municipal bonds </w:t>
      </w:r>
      <w:r w:rsidRPr="00CF36D9">
        <w:rPr>
          <w:sz w:val="28"/>
          <w:szCs w:val="28"/>
        </w:rPr>
        <w:t>wer</w:t>
      </w:r>
      <w:r w:rsidR="000D22C6" w:rsidRPr="00CF36D9">
        <w:rPr>
          <w:sz w:val="28"/>
          <w:szCs w:val="28"/>
        </w:rPr>
        <w:t>e providing, on average, a meager 0.60% yield</w:t>
      </w:r>
      <w:r w:rsidRPr="00CF36D9">
        <w:rPr>
          <w:sz w:val="28"/>
          <w:szCs w:val="28"/>
        </w:rPr>
        <w:t xml:space="preserve"> last January; now the rate is a comparatively robust 2.56%</w:t>
      </w:r>
      <w:r w:rsidR="000D22C6" w:rsidRPr="00CF36D9">
        <w:rPr>
          <w:sz w:val="28"/>
          <w:szCs w:val="28"/>
        </w:rPr>
        <w:t xml:space="preserve">, while 30-year </w:t>
      </w:r>
      <w:proofErr w:type="spellStart"/>
      <w:r w:rsidR="000D22C6" w:rsidRPr="00CF36D9">
        <w:rPr>
          <w:sz w:val="28"/>
          <w:szCs w:val="28"/>
        </w:rPr>
        <w:t>munis</w:t>
      </w:r>
      <w:proofErr w:type="spellEnd"/>
      <w:r w:rsidR="000D22C6" w:rsidRPr="00CF36D9">
        <w:rPr>
          <w:sz w:val="28"/>
          <w:szCs w:val="28"/>
        </w:rPr>
        <w:t xml:space="preserve"> are yielding </w:t>
      </w:r>
      <w:r w:rsidRPr="00CF36D9">
        <w:rPr>
          <w:sz w:val="28"/>
          <w:szCs w:val="28"/>
        </w:rPr>
        <w:t>3.63</w:t>
      </w:r>
      <w:r w:rsidR="000D22C6" w:rsidRPr="00CF36D9">
        <w:rPr>
          <w:sz w:val="28"/>
          <w:szCs w:val="28"/>
        </w:rPr>
        <w:t>% on average.</w:t>
      </w:r>
      <w:r w:rsidR="00DC4E1F">
        <w:rPr>
          <w:sz w:val="28"/>
          <w:szCs w:val="28"/>
        </w:rPr>
        <w:t xml:space="preserve">  Of course, for bond investors, these yield gains represented losses; when rates go up, the lower-yielding bonds that investors had purchased previously lose value proportionately.</w:t>
      </w:r>
    </w:p>
    <w:p w14:paraId="63AEBBEF" w14:textId="77777777" w:rsidR="00336A89" w:rsidRPr="00CF36D9" w:rsidRDefault="00336A89">
      <w:pPr>
        <w:pStyle w:val="Default"/>
        <w:spacing w:before="0"/>
        <w:rPr>
          <w:sz w:val="28"/>
          <w:szCs w:val="28"/>
        </w:rPr>
      </w:pPr>
    </w:p>
    <w:p w14:paraId="416C9DDC" w14:textId="72E66CA5" w:rsidR="00336A89" w:rsidRDefault="00176F16">
      <w:pPr>
        <w:pStyle w:val="Default"/>
        <w:spacing w:before="0" w:line="280" w:lineRule="atLeast"/>
        <w:rPr>
          <w:color w:val="1A1A1A"/>
          <w:sz w:val="28"/>
          <w:szCs w:val="28"/>
          <w:shd w:val="clear" w:color="auto" w:fill="FFFFFF"/>
        </w:rPr>
      </w:pPr>
      <w:r w:rsidRPr="00CF36D9">
        <w:rPr>
          <w:color w:val="1A1A1A"/>
          <w:sz w:val="28"/>
          <w:szCs w:val="28"/>
          <w:shd w:val="clear" w:color="auto" w:fill="FFFFFF"/>
        </w:rPr>
        <w:t>The broad market downturn, in stocks and bonds</w:t>
      </w:r>
      <w:r w:rsidR="00DC4E1F">
        <w:rPr>
          <w:color w:val="1A1A1A"/>
          <w:sz w:val="28"/>
          <w:szCs w:val="28"/>
          <w:shd w:val="clear" w:color="auto" w:fill="FFFFFF"/>
        </w:rPr>
        <w:t>,</w:t>
      </w:r>
      <w:r w:rsidRPr="00CF36D9">
        <w:rPr>
          <w:color w:val="1A1A1A"/>
          <w:sz w:val="28"/>
          <w:szCs w:val="28"/>
          <w:shd w:val="clear" w:color="auto" w:fill="FFFFFF"/>
        </w:rPr>
        <w:t xml:space="preserve"> marks</w:t>
      </w:r>
      <w:r>
        <w:rPr>
          <w:color w:val="1A1A1A"/>
          <w:sz w:val="28"/>
          <w:szCs w:val="28"/>
          <w:shd w:val="clear" w:color="auto" w:fill="FFFFFF"/>
        </w:rPr>
        <w:t xml:space="preserve"> the end of</w:t>
      </w:r>
      <w:r w:rsidR="000D22C6">
        <w:rPr>
          <w:color w:val="1A1A1A"/>
          <w:sz w:val="28"/>
          <w:szCs w:val="28"/>
          <w:shd w:val="clear" w:color="auto" w:fill="FFFFFF"/>
        </w:rPr>
        <w:t xml:space="preserve"> an extraordinary period of investment history</w:t>
      </w:r>
      <w:r>
        <w:rPr>
          <w:color w:val="1A1A1A"/>
          <w:sz w:val="28"/>
          <w:szCs w:val="28"/>
          <w:shd w:val="clear" w:color="auto" w:fill="FFFFFF"/>
        </w:rPr>
        <w:t>, a three-year run that saw many investors at or near doubling their portfolio values.  The interesting thing is that, despite the declines, we are not currently in bear market territory--</w:t>
      </w:r>
      <w:r w:rsidR="00DC4E1F">
        <w:rPr>
          <w:color w:val="1A1A1A"/>
          <w:sz w:val="28"/>
          <w:szCs w:val="28"/>
          <w:shd w:val="clear" w:color="auto" w:fill="FFFFFF"/>
        </w:rPr>
        <w:t xml:space="preserve">usually </w:t>
      </w:r>
      <w:r>
        <w:rPr>
          <w:color w:val="1A1A1A"/>
          <w:sz w:val="28"/>
          <w:szCs w:val="28"/>
          <w:shd w:val="clear" w:color="auto" w:fill="FFFFFF"/>
        </w:rPr>
        <w:t>defined as a 20% decline.</w:t>
      </w:r>
      <w:r w:rsidR="000D22C6">
        <w:rPr>
          <w:color w:val="1A1A1A"/>
          <w:sz w:val="28"/>
          <w:szCs w:val="28"/>
          <w:shd w:val="clear" w:color="auto" w:fill="FFFFFF"/>
        </w:rPr>
        <w:t xml:space="preserve">  </w:t>
      </w:r>
    </w:p>
    <w:p w14:paraId="0C4B0022" w14:textId="3450DCE9" w:rsidR="00176F16" w:rsidRDefault="00176F16">
      <w:pPr>
        <w:pStyle w:val="Default"/>
        <w:spacing w:before="0" w:line="280" w:lineRule="atLeast"/>
        <w:rPr>
          <w:color w:val="1A1A1A"/>
          <w:sz w:val="28"/>
          <w:szCs w:val="28"/>
          <w:shd w:val="clear" w:color="auto" w:fill="FFFFFF"/>
        </w:rPr>
      </w:pPr>
    </w:p>
    <w:p w14:paraId="3FAA8384" w14:textId="07C658F7" w:rsidR="00176F16" w:rsidRDefault="00176F16" w:rsidP="00176F1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autoSpaceDE w:val="0"/>
        <w:autoSpaceDN w:val="0"/>
        <w:adjustRightInd w:val="0"/>
        <w:rPr>
          <w:rFonts w:ascii="Times" w:hAnsi="Times" w:cs="Times"/>
          <w:color w:val="000000"/>
          <w:sz w:val="28"/>
          <w:szCs w:val="28"/>
        </w:rPr>
      </w:pPr>
      <w:r>
        <w:rPr>
          <w:color w:val="1A1A1A"/>
          <w:sz w:val="28"/>
          <w:szCs w:val="28"/>
          <w:shd w:val="clear" w:color="auto" w:fill="FFFFFF"/>
        </w:rPr>
        <w:t>What will the future bring?  Of course, we don't know, but perhaps we don't know more deeply now, with all the mixed signals</w:t>
      </w:r>
      <w:r w:rsidR="00DC4E1F">
        <w:rPr>
          <w:color w:val="1A1A1A"/>
          <w:sz w:val="28"/>
          <w:szCs w:val="28"/>
          <w:shd w:val="clear" w:color="auto" w:fill="FFFFFF"/>
        </w:rPr>
        <w:t xml:space="preserve"> swirling around us</w:t>
      </w:r>
      <w:r>
        <w:rPr>
          <w:color w:val="1A1A1A"/>
          <w:sz w:val="28"/>
          <w:szCs w:val="28"/>
          <w:shd w:val="clear" w:color="auto" w:fill="FFFFFF"/>
        </w:rPr>
        <w:t xml:space="preserve">, than we usually don't know.  It's certainly possible that </w:t>
      </w:r>
      <w:r>
        <w:rPr>
          <w:rFonts w:ascii="Times" w:hAnsi="Times" w:cs="Times"/>
          <w:color w:val="000000"/>
          <w:sz w:val="28"/>
          <w:szCs w:val="28"/>
        </w:rPr>
        <w:t xml:space="preserve">the Fed </w:t>
      </w:r>
      <w:r>
        <w:rPr>
          <w:rFonts w:ascii="Times" w:hAnsi="Times" w:cs="Times"/>
          <w:color w:val="000000"/>
          <w:sz w:val="28"/>
          <w:szCs w:val="28"/>
        </w:rPr>
        <w:t>will</w:t>
      </w:r>
      <w:r>
        <w:rPr>
          <w:rFonts w:ascii="Times" w:hAnsi="Times" w:cs="Times"/>
          <w:color w:val="000000"/>
          <w:sz w:val="28"/>
          <w:szCs w:val="28"/>
        </w:rPr>
        <w:t xml:space="preserve"> achieve that mythical ‘soft landing’ for the economy</w:t>
      </w:r>
      <w:r>
        <w:rPr>
          <w:rFonts w:ascii="Times" w:hAnsi="Times" w:cs="Times"/>
          <w:color w:val="000000"/>
          <w:sz w:val="28"/>
          <w:szCs w:val="28"/>
        </w:rPr>
        <w:t xml:space="preserve"> in the coming </w:t>
      </w:r>
      <w:proofErr w:type="gramStart"/>
      <w:r>
        <w:rPr>
          <w:rFonts w:ascii="Times" w:hAnsi="Times" w:cs="Times"/>
          <w:color w:val="000000"/>
          <w:sz w:val="28"/>
          <w:szCs w:val="28"/>
        </w:rPr>
        <w:t xml:space="preserve">year.  </w:t>
      </w:r>
      <w:proofErr w:type="gramEnd"/>
      <w:r>
        <w:rPr>
          <w:rFonts w:ascii="Times" w:hAnsi="Times" w:cs="Times"/>
          <w:color w:val="000000"/>
          <w:sz w:val="28"/>
          <w:szCs w:val="28"/>
        </w:rPr>
        <w:t>I</w:t>
      </w:r>
      <w:r>
        <w:rPr>
          <w:rFonts w:ascii="Times" w:hAnsi="Times" w:cs="Times"/>
          <w:color w:val="000000"/>
          <w:sz w:val="28"/>
          <w:szCs w:val="28"/>
        </w:rPr>
        <w:t>nflation seems to have peaked and is falling faster than many expected—</w:t>
      </w:r>
      <w:r>
        <w:rPr>
          <w:rFonts w:ascii="Times" w:hAnsi="Times" w:cs="Times"/>
          <w:color w:val="000000"/>
          <w:sz w:val="28"/>
          <w:szCs w:val="28"/>
        </w:rPr>
        <w:t xml:space="preserve">the CPI is up just </w:t>
      </w:r>
      <w:r>
        <w:rPr>
          <w:rFonts w:ascii="Times" w:hAnsi="Times" w:cs="Times"/>
          <w:color w:val="000000"/>
          <w:sz w:val="28"/>
          <w:szCs w:val="28"/>
        </w:rPr>
        <w:t>0.1% in November, 7.1% year-over-year.  The GDP</w:t>
      </w:r>
      <w:r>
        <w:rPr>
          <w:rFonts w:ascii="Times" w:hAnsi="Times" w:cs="Times"/>
          <w:color w:val="000000"/>
          <w:sz w:val="28"/>
          <w:szCs w:val="28"/>
        </w:rPr>
        <w:t xml:space="preserve">, which measures growth in the economy, </w:t>
      </w:r>
      <w:r>
        <w:rPr>
          <w:rFonts w:ascii="Times" w:hAnsi="Times" w:cs="Times"/>
          <w:color w:val="000000"/>
          <w:sz w:val="28"/>
          <w:szCs w:val="28"/>
        </w:rPr>
        <w:t>recovered in the third quarter</w:t>
      </w:r>
      <w:r w:rsidR="00DC4E1F">
        <w:rPr>
          <w:rFonts w:ascii="Times" w:hAnsi="Times" w:cs="Times"/>
          <w:color w:val="000000"/>
          <w:sz w:val="28"/>
          <w:szCs w:val="28"/>
        </w:rPr>
        <w:t>;</w:t>
      </w:r>
      <w:r>
        <w:rPr>
          <w:rFonts w:ascii="Times" w:hAnsi="Times" w:cs="Times"/>
          <w:color w:val="000000"/>
          <w:sz w:val="28"/>
          <w:szCs w:val="28"/>
        </w:rPr>
        <w:t xml:space="preserve"> </w:t>
      </w:r>
      <w:r>
        <w:rPr>
          <w:rFonts w:ascii="Times" w:hAnsi="Times" w:cs="Times"/>
          <w:color w:val="000000"/>
          <w:sz w:val="28"/>
          <w:szCs w:val="28"/>
        </w:rPr>
        <w:t>total economic activity in the U.S. expanded a healthy</w:t>
      </w:r>
      <w:r>
        <w:rPr>
          <w:rFonts w:ascii="Times" w:hAnsi="Times" w:cs="Times"/>
          <w:color w:val="000000"/>
          <w:sz w:val="28"/>
          <w:szCs w:val="28"/>
        </w:rPr>
        <w:t xml:space="preserve"> 2.9%</w:t>
      </w:r>
      <w:r w:rsidR="00CF36D9">
        <w:rPr>
          <w:rFonts w:ascii="Times" w:hAnsi="Times" w:cs="Times"/>
          <w:color w:val="000000"/>
          <w:sz w:val="28"/>
          <w:szCs w:val="28"/>
        </w:rPr>
        <w:t xml:space="preserve"> for the three months ending September 30</w:t>
      </w:r>
      <w:r>
        <w:rPr>
          <w:rFonts w:ascii="Times" w:hAnsi="Times" w:cs="Times"/>
          <w:color w:val="000000"/>
          <w:sz w:val="28"/>
          <w:szCs w:val="28"/>
        </w:rPr>
        <w:t>, and a survey of economists suggests that growth could reach 1.0% in the fourth quarter.  Unemployment is still low, at 3.7%.  Low unemployment, wage gains and near</w:t>
      </w:r>
      <w:r w:rsidR="00CF36D9">
        <w:rPr>
          <w:rFonts w:ascii="Times" w:hAnsi="Times" w:cs="Times"/>
          <w:color w:val="000000"/>
          <w:sz w:val="28"/>
          <w:szCs w:val="28"/>
        </w:rPr>
        <w:t xml:space="preserve"> </w:t>
      </w:r>
      <w:r>
        <w:rPr>
          <w:rFonts w:ascii="Times" w:hAnsi="Times" w:cs="Times"/>
          <w:color w:val="000000"/>
          <w:sz w:val="28"/>
          <w:szCs w:val="28"/>
        </w:rPr>
        <w:t>1% gains in personal income are fueling an increase in consumer spending.  U.S retail sales posted their strongest gain</w:t>
      </w:r>
      <w:r w:rsidR="00CF36D9">
        <w:rPr>
          <w:rFonts w:ascii="Times" w:hAnsi="Times" w:cs="Times"/>
          <w:color w:val="000000"/>
          <w:sz w:val="28"/>
          <w:szCs w:val="28"/>
        </w:rPr>
        <w:t>s</w:t>
      </w:r>
      <w:r>
        <w:rPr>
          <w:rFonts w:ascii="Times" w:hAnsi="Times" w:cs="Times"/>
          <w:color w:val="000000"/>
          <w:sz w:val="28"/>
          <w:szCs w:val="28"/>
        </w:rPr>
        <w:t xml:space="preserve"> in eight months </w:t>
      </w:r>
      <w:r w:rsidR="00CF36D9">
        <w:rPr>
          <w:rFonts w:ascii="Times" w:hAnsi="Times" w:cs="Times"/>
          <w:color w:val="000000"/>
          <w:sz w:val="28"/>
          <w:szCs w:val="28"/>
        </w:rPr>
        <w:t>this past</w:t>
      </w:r>
      <w:r>
        <w:rPr>
          <w:rFonts w:ascii="Times" w:hAnsi="Times" w:cs="Times"/>
          <w:color w:val="000000"/>
          <w:sz w:val="28"/>
          <w:szCs w:val="28"/>
        </w:rPr>
        <w:t xml:space="preserve"> October.</w:t>
      </w:r>
    </w:p>
    <w:p w14:paraId="0B842B4F" w14:textId="77777777" w:rsidR="00176F16" w:rsidRDefault="00176F16" w:rsidP="00176F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Times"/>
          <w:color w:val="000000"/>
          <w:sz w:val="28"/>
          <w:szCs w:val="28"/>
        </w:rPr>
      </w:pPr>
    </w:p>
    <w:p w14:paraId="687E2CB2" w14:textId="7F0F2C20" w:rsidR="00176F16" w:rsidRDefault="00176F16" w:rsidP="00176F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Times"/>
          <w:color w:val="000000"/>
          <w:sz w:val="28"/>
          <w:szCs w:val="28"/>
        </w:rPr>
      </w:pPr>
      <w:r>
        <w:rPr>
          <w:rFonts w:ascii="Times" w:hAnsi="Times" w:cs="Times"/>
          <w:color w:val="000000"/>
          <w:sz w:val="28"/>
          <w:szCs w:val="28"/>
        </w:rPr>
        <w:t xml:space="preserve">But…  </w:t>
      </w:r>
      <w:r w:rsidR="00DC4E1F">
        <w:rPr>
          <w:rFonts w:ascii="Times" w:hAnsi="Times" w:cs="Times"/>
          <w:color w:val="000000"/>
          <w:sz w:val="28"/>
          <w:szCs w:val="28"/>
        </w:rPr>
        <w:t xml:space="preserve">investors may be cautious about feeling too optimistic quite yet, especially with that glimpse into the </w:t>
      </w:r>
      <w:proofErr w:type="gramStart"/>
      <w:r w:rsidR="00DC4E1F">
        <w:rPr>
          <w:rFonts w:ascii="Times" w:hAnsi="Times" w:cs="Times"/>
          <w:color w:val="000000"/>
          <w:sz w:val="28"/>
          <w:szCs w:val="28"/>
        </w:rPr>
        <w:t>rear view</w:t>
      </w:r>
      <w:proofErr w:type="gramEnd"/>
      <w:r w:rsidR="00DC4E1F">
        <w:rPr>
          <w:rFonts w:ascii="Times" w:hAnsi="Times" w:cs="Times"/>
          <w:color w:val="000000"/>
          <w:sz w:val="28"/>
          <w:szCs w:val="28"/>
        </w:rPr>
        <w:t xml:space="preserve"> mirror.  </w:t>
      </w:r>
      <w:r>
        <w:rPr>
          <w:rFonts w:ascii="Times" w:hAnsi="Times" w:cs="Times"/>
          <w:color w:val="000000"/>
          <w:sz w:val="28"/>
          <w:szCs w:val="28"/>
        </w:rPr>
        <w:t xml:space="preserve">2022 marks the first year in history when the S&amp;P 500 and 20-year Treasury bonds both experienced double-digit losses; the previous ‘record’ was 1969, when </w:t>
      </w:r>
      <w:r w:rsidR="00CF36D9">
        <w:rPr>
          <w:rFonts w:ascii="Times" w:hAnsi="Times" w:cs="Times"/>
          <w:color w:val="000000"/>
          <w:sz w:val="28"/>
          <w:szCs w:val="28"/>
        </w:rPr>
        <w:t>t</w:t>
      </w:r>
      <w:r>
        <w:rPr>
          <w:rFonts w:ascii="Times" w:hAnsi="Times" w:cs="Times"/>
          <w:color w:val="000000"/>
          <w:sz w:val="28"/>
          <w:szCs w:val="28"/>
        </w:rPr>
        <w:t xml:space="preserve">he S&amp;P 500 lost 8.5% and long Treasuries </w:t>
      </w:r>
      <w:r w:rsidR="00CF36D9">
        <w:rPr>
          <w:rFonts w:ascii="Times" w:hAnsi="Times" w:cs="Times"/>
          <w:color w:val="000000"/>
          <w:sz w:val="28"/>
          <w:szCs w:val="28"/>
        </w:rPr>
        <w:t>declined by</w:t>
      </w:r>
      <w:r>
        <w:rPr>
          <w:rFonts w:ascii="Times" w:hAnsi="Times" w:cs="Times"/>
          <w:color w:val="000000"/>
          <w:sz w:val="28"/>
          <w:szCs w:val="28"/>
        </w:rPr>
        <w:t xml:space="preserve"> 5.1%.  Global diversification also didn’t help, as both the MSCI EAFE and emerging markets experienced double-digit losses.</w:t>
      </w:r>
    </w:p>
    <w:p w14:paraId="4B858EF1" w14:textId="77777777" w:rsidR="00176F16" w:rsidRDefault="00176F16" w:rsidP="00176F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Times"/>
          <w:color w:val="000000"/>
          <w:sz w:val="28"/>
          <w:szCs w:val="28"/>
        </w:rPr>
      </w:pPr>
    </w:p>
    <w:p w14:paraId="2D7252F2" w14:textId="3CF708D6" w:rsidR="00CF36D9" w:rsidRDefault="00CF36D9" w:rsidP="00176F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Times"/>
          <w:color w:val="000000"/>
          <w:sz w:val="28"/>
          <w:szCs w:val="28"/>
        </w:rPr>
      </w:pPr>
      <w:r>
        <w:rPr>
          <w:rFonts w:ascii="Times" w:hAnsi="Times" w:cs="Times"/>
          <w:color w:val="000000"/>
          <w:sz w:val="28"/>
          <w:szCs w:val="28"/>
        </w:rPr>
        <w:t xml:space="preserve">The problem for the investment markets is that what had been a strong tail wind is now a brisk head-wind.  </w:t>
      </w:r>
      <w:r>
        <w:rPr>
          <w:rFonts w:ascii="Times" w:hAnsi="Times" w:cs="Times"/>
          <w:color w:val="000000"/>
          <w:sz w:val="28"/>
          <w:szCs w:val="28"/>
        </w:rPr>
        <w:br/>
        <w:t>The U.S. Central Bank</w:t>
      </w:r>
      <w:r w:rsidR="00176F16">
        <w:rPr>
          <w:rFonts w:ascii="Times" w:hAnsi="Times" w:cs="Times"/>
          <w:color w:val="000000"/>
          <w:sz w:val="28"/>
          <w:szCs w:val="28"/>
        </w:rPr>
        <w:t xml:space="preserve"> is engaged in quantitative tightening, shrinking its $9 trillion balance sheet by roughly $100 billion a month.  </w:t>
      </w:r>
      <w:r>
        <w:rPr>
          <w:rFonts w:ascii="Times" w:hAnsi="Times" w:cs="Times"/>
          <w:color w:val="000000"/>
          <w:sz w:val="28"/>
          <w:szCs w:val="28"/>
        </w:rPr>
        <w:t>As the Fed economists continue to bring inflation down to a 2% annual rate, they are likely to raise t</w:t>
      </w:r>
      <w:r w:rsidR="00176F16">
        <w:rPr>
          <w:rFonts w:ascii="Times" w:hAnsi="Times" w:cs="Times"/>
          <w:color w:val="000000"/>
          <w:sz w:val="28"/>
          <w:szCs w:val="28"/>
        </w:rPr>
        <w:t xml:space="preserve">he Fed funds rate to at least 5%, </w:t>
      </w:r>
      <w:r>
        <w:rPr>
          <w:rFonts w:ascii="Times" w:hAnsi="Times" w:cs="Times"/>
          <w:color w:val="000000"/>
          <w:sz w:val="28"/>
          <w:szCs w:val="28"/>
        </w:rPr>
        <w:t>which makes short-term bond instruments competitive with stocks and reduces demand in the equities markets.</w:t>
      </w:r>
    </w:p>
    <w:p w14:paraId="084B57EC" w14:textId="77777777" w:rsidR="00CF36D9" w:rsidRDefault="00CF36D9" w:rsidP="00176F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Times"/>
          <w:color w:val="000000"/>
          <w:sz w:val="28"/>
          <w:szCs w:val="28"/>
        </w:rPr>
      </w:pPr>
    </w:p>
    <w:p w14:paraId="5DC98B11" w14:textId="0537FEEC" w:rsidR="00176F16" w:rsidRDefault="00CF36D9" w:rsidP="00176F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Times"/>
          <w:color w:val="000000"/>
          <w:sz w:val="28"/>
          <w:szCs w:val="28"/>
        </w:rPr>
      </w:pPr>
      <w:r>
        <w:rPr>
          <w:rFonts w:ascii="Times" w:hAnsi="Times" w:cs="Times"/>
          <w:color w:val="000000"/>
          <w:sz w:val="28"/>
          <w:szCs w:val="28"/>
        </w:rPr>
        <w:t>Meanwhile,</w:t>
      </w:r>
      <w:r w:rsidR="00176F16">
        <w:rPr>
          <w:rFonts w:ascii="Times" w:hAnsi="Times" w:cs="Times"/>
          <w:color w:val="000000"/>
          <w:sz w:val="28"/>
          <w:szCs w:val="28"/>
        </w:rPr>
        <w:t xml:space="preserve"> the housing market recently experienced the ninth consecutive month of declining sales—</w:t>
      </w:r>
      <w:r>
        <w:rPr>
          <w:rFonts w:ascii="Times" w:hAnsi="Times" w:cs="Times"/>
          <w:color w:val="000000"/>
          <w:sz w:val="28"/>
          <w:szCs w:val="28"/>
        </w:rPr>
        <w:t xml:space="preserve">almost certainly </w:t>
      </w:r>
      <w:r w:rsidR="00176F16">
        <w:rPr>
          <w:rFonts w:ascii="Times" w:hAnsi="Times" w:cs="Times"/>
          <w:color w:val="000000"/>
          <w:sz w:val="28"/>
          <w:szCs w:val="28"/>
        </w:rPr>
        <w:t>due to higher mortgage rates.  And the Conference Board’s October index of leading economic indicators</w:t>
      </w:r>
      <w:r>
        <w:rPr>
          <w:rFonts w:ascii="Times" w:hAnsi="Times" w:cs="Times"/>
          <w:color w:val="000000"/>
          <w:sz w:val="28"/>
          <w:szCs w:val="28"/>
        </w:rPr>
        <w:t xml:space="preserve"> recently</w:t>
      </w:r>
      <w:r w:rsidR="00176F16">
        <w:rPr>
          <w:rFonts w:ascii="Times" w:hAnsi="Times" w:cs="Times"/>
          <w:color w:val="000000"/>
          <w:sz w:val="28"/>
          <w:szCs w:val="28"/>
        </w:rPr>
        <w:t xml:space="preserve"> </w:t>
      </w:r>
      <w:r>
        <w:rPr>
          <w:rFonts w:ascii="Times" w:hAnsi="Times" w:cs="Times"/>
          <w:color w:val="000000"/>
          <w:sz w:val="28"/>
          <w:szCs w:val="28"/>
        </w:rPr>
        <w:t>declined</w:t>
      </w:r>
      <w:r w:rsidR="00176F16">
        <w:rPr>
          <w:rFonts w:ascii="Times" w:hAnsi="Times" w:cs="Times"/>
          <w:color w:val="000000"/>
          <w:sz w:val="28"/>
          <w:szCs w:val="28"/>
        </w:rPr>
        <w:t xml:space="preserve"> for the eighth straight month, </w:t>
      </w:r>
      <w:r>
        <w:rPr>
          <w:rFonts w:ascii="Times" w:hAnsi="Times" w:cs="Times"/>
          <w:color w:val="000000"/>
          <w:sz w:val="28"/>
          <w:szCs w:val="28"/>
        </w:rPr>
        <w:t>which may signal</w:t>
      </w:r>
      <w:r w:rsidR="00176F16">
        <w:rPr>
          <w:rFonts w:ascii="Times" w:hAnsi="Times" w:cs="Times"/>
          <w:color w:val="000000"/>
          <w:sz w:val="28"/>
          <w:szCs w:val="28"/>
        </w:rPr>
        <w:t xml:space="preserve"> an increasing risk of </w:t>
      </w:r>
      <w:r w:rsidR="00DC4E1F">
        <w:rPr>
          <w:rFonts w:ascii="Times" w:hAnsi="Times" w:cs="Times"/>
          <w:color w:val="000000"/>
          <w:sz w:val="28"/>
          <w:szCs w:val="28"/>
        </w:rPr>
        <w:t xml:space="preserve">a </w:t>
      </w:r>
      <w:r w:rsidR="00176F16">
        <w:rPr>
          <w:rFonts w:ascii="Times" w:hAnsi="Times" w:cs="Times"/>
          <w:color w:val="000000"/>
          <w:sz w:val="28"/>
          <w:szCs w:val="28"/>
        </w:rPr>
        <w:t>recession in the coming year.  That gloomy prediction is reinforced by the inverted yield curve.  The recent spread between three-month and 10-year Treasury bond</w:t>
      </w:r>
      <w:r w:rsidR="00DC4E1F">
        <w:rPr>
          <w:rFonts w:ascii="Times" w:hAnsi="Times" w:cs="Times"/>
          <w:color w:val="000000"/>
          <w:sz w:val="28"/>
          <w:szCs w:val="28"/>
        </w:rPr>
        <w:t>s</w:t>
      </w:r>
      <w:bookmarkStart w:id="0" w:name="_GoBack"/>
      <w:bookmarkEnd w:id="0"/>
      <w:r w:rsidR="00176F16">
        <w:rPr>
          <w:rFonts w:ascii="Times" w:hAnsi="Times" w:cs="Times"/>
          <w:color w:val="000000"/>
          <w:sz w:val="28"/>
          <w:szCs w:val="28"/>
        </w:rPr>
        <w:t xml:space="preserve"> </w:t>
      </w:r>
      <w:r>
        <w:rPr>
          <w:rFonts w:ascii="Times" w:hAnsi="Times" w:cs="Times"/>
          <w:color w:val="000000"/>
          <w:sz w:val="28"/>
          <w:szCs w:val="28"/>
        </w:rPr>
        <w:t>has reached</w:t>
      </w:r>
      <w:r w:rsidR="00176F16">
        <w:rPr>
          <w:rFonts w:ascii="Times" w:hAnsi="Times" w:cs="Times"/>
          <w:color w:val="000000"/>
          <w:sz w:val="28"/>
          <w:szCs w:val="28"/>
        </w:rPr>
        <w:t xml:space="preserve"> -0.77%.  When investors buy long-term bonds at lower yields than short-term bonds, it means they’re expecting turmoil on the horizon.</w:t>
      </w:r>
    </w:p>
    <w:p w14:paraId="17E8EB03" w14:textId="77777777" w:rsidR="00176F16" w:rsidRDefault="00176F16" w:rsidP="00176F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Times"/>
          <w:color w:val="000000"/>
          <w:sz w:val="28"/>
          <w:szCs w:val="28"/>
        </w:rPr>
      </w:pPr>
    </w:p>
    <w:p w14:paraId="3AC9E4E6" w14:textId="00DBD35B" w:rsidR="00176F16" w:rsidRDefault="00CF36D9" w:rsidP="00176F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Times"/>
          <w:color w:val="000000"/>
          <w:sz w:val="28"/>
          <w:szCs w:val="28"/>
        </w:rPr>
      </w:pPr>
      <w:r>
        <w:rPr>
          <w:rFonts w:ascii="Times" w:hAnsi="Times" w:cs="Times"/>
          <w:color w:val="000000"/>
          <w:sz w:val="28"/>
          <w:szCs w:val="28"/>
        </w:rPr>
        <w:t>When the markets decline as they did this past year, history tells us that they become a buying opportunity; in effect, they go on sale, and become more attractively priced than they were before the downturn.  But there is no guarantee that stocks won't become even more attractively priced at some point in the coming year; we just don't know what to expect.  What we do know is that in virtually every historical time period, stock prices have recovered, usually unexpectedly, and the biggest danger has always been to move to the sidelines at the wrong time and miss out on that next upsurge.  If we knew any more than that about the future, you would be the first to hear from us.</w:t>
      </w:r>
    </w:p>
    <w:p w14:paraId="6AC5CA1B" w14:textId="2C441E7E" w:rsidR="00336A89" w:rsidRDefault="00336A89">
      <w:pPr>
        <w:pStyle w:val="Default"/>
        <w:spacing w:before="0" w:after="372" w:line="280" w:lineRule="atLeast"/>
        <w:rPr>
          <w:color w:val="333333"/>
          <w:sz w:val="28"/>
          <w:szCs w:val="28"/>
          <w:shd w:val="clear" w:color="auto" w:fill="FFFFFF"/>
        </w:rPr>
      </w:pPr>
    </w:p>
    <w:p w14:paraId="40E768C4" w14:textId="77777777" w:rsidR="00336A89" w:rsidRDefault="000D22C6">
      <w:pPr>
        <w:pStyle w:val="Default"/>
        <w:spacing w:before="0" w:after="372" w:line="280" w:lineRule="atLeast"/>
        <w:rPr>
          <w:color w:val="333333"/>
          <w:sz w:val="28"/>
          <w:szCs w:val="28"/>
          <w:shd w:val="clear" w:color="auto" w:fill="FFFFFF"/>
        </w:rPr>
      </w:pPr>
      <w:r>
        <w:rPr>
          <w:color w:val="333333"/>
          <w:sz w:val="28"/>
          <w:szCs w:val="28"/>
          <w:shd w:val="clear" w:color="auto" w:fill="FFFFFF"/>
        </w:rPr>
        <w:t>Sources:</w:t>
      </w:r>
    </w:p>
    <w:p w14:paraId="08AB03E5" w14:textId="77777777" w:rsidR="00336A89" w:rsidRDefault="000D22C6">
      <w:pPr>
        <w:pStyle w:val="Default"/>
        <w:spacing w:before="0" w:line="280" w:lineRule="atLeast"/>
        <w:rPr>
          <w:sz w:val="28"/>
          <w:szCs w:val="28"/>
        </w:rPr>
      </w:pPr>
      <w:r>
        <w:rPr>
          <w:sz w:val="28"/>
          <w:szCs w:val="28"/>
        </w:rPr>
        <w:t xml:space="preserve">Wilshire index data: </w:t>
      </w:r>
      <w:hyperlink r:id="rId6" w:history="1">
        <w:r>
          <w:rPr>
            <w:rStyle w:val="Hyperlink0"/>
            <w:color w:val="004DC4"/>
            <w:sz w:val="28"/>
            <w:szCs w:val="28"/>
          </w:rPr>
          <w:t>http://www.wilshire.com/Indexes/calculator/</w:t>
        </w:r>
      </w:hyperlink>
      <w:r>
        <w:rPr>
          <w:sz w:val="28"/>
          <w:szCs w:val="28"/>
        </w:rPr>
        <w:t xml:space="preserve"> </w:t>
      </w:r>
    </w:p>
    <w:p w14:paraId="23C10FC1" w14:textId="77777777" w:rsidR="00336A89" w:rsidRDefault="00336A89">
      <w:pPr>
        <w:pStyle w:val="Default"/>
        <w:spacing w:before="0" w:line="280" w:lineRule="atLeast"/>
        <w:rPr>
          <w:sz w:val="28"/>
          <w:szCs w:val="28"/>
        </w:rPr>
      </w:pPr>
    </w:p>
    <w:p w14:paraId="4086355B" w14:textId="77777777" w:rsidR="00336A89" w:rsidRDefault="000D22C6">
      <w:pPr>
        <w:pStyle w:val="Default"/>
        <w:spacing w:before="0" w:line="280" w:lineRule="atLeast"/>
        <w:rPr>
          <w:sz w:val="28"/>
          <w:szCs w:val="28"/>
        </w:rPr>
      </w:pPr>
      <w:r>
        <w:rPr>
          <w:sz w:val="28"/>
          <w:szCs w:val="28"/>
          <w:lang w:val="de-DE"/>
        </w:rPr>
        <w:t xml:space="preserve">Russell </w:t>
      </w:r>
      <w:proofErr w:type="spellStart"/>
      <w:r>
        <w:rPr>
          <w:sz w:val="28"/>
          <w:szCs w:val="28"/>
          <w:lang w:val="de-DE"/>
        </w:rPr>
        <w:t>index</w:t>
      </w:r>
      <w:proofErr w:type="spellEnd"/>
      <w:r>
        <w:rPr>
          <w:sz w:val="28"/>
          <w:szCs w:val="28"/>
          <w:lang w:val="de-DE"/>
        </w:rPr>
        <w:t xml:space="preserve"> </w:t>
      </w:r>
      <w:proofErr w:type="spellStart"/>
      <w:r>
        <w:rPr>
          <w:sz w:val="28"/>
          <w:szCs w:val="28"/>
          <w:lang w:val="de-DE"/>
        </w:rPr>
        <w:t>data</w:t>
      </w:r>
      <w:proofErr w:type="spellEnd"/>
      <w:r>
        <w:rPr>
          <w:sz w:val="28"/>
          <w:szCs w:val="28"/>
          <w:lang w:val="de-DE"/>
        </w:rPr>
        <w:t xml:space="preserve">: </w:t>
      </w:r>
      <w:hyperlink r:id="rId7" w:history="1">
        <w:r>
          <w:rPr>
            <w:rStyle w:val="Hyperlink0"/>
            <w:sz w:val="28"/>
            <w:szCs w:val="28"/>
          </w:rPr>
          <w:t>http://www.ftse.com/products/indices/russell-us</w:t>
        </w:r>
      </w:hyperlink>
      <w:r>
        <w:rPr>
          <w:sz w:val="28"/>
          <w:szCs w:val="28"/>
        </w:rPr>
        <w:t xml:space="preserve">  </w:t>
      </w:r>
    </w:p>
    <w:p w14:paraId="77B9C084" w14:textId="77777777" w:rsidR="00336A89" w:rsidRDefault="00336A89">
      <w:pPr>
        <w:pStyle w:val="Default"/>
        <w:spacing w:before="0" w:line="280" w:lineRule="atLeast"/>
        <w:rPr>
          <w:sz w:val="28"/>
          <w:szCs w:val="28"/>
        </w:rPr>
      </w:pPr>
    </w:p>
    <w:p w14:paraId="2C1B8DB4" w14:textId="77777777" w:rsidR="00336A89" w:rsidRDefault="000D22C6">
      <w:pPr>
        <w:pStyle w:val="Default"/>
        <w:spacing w:before="0" w:line="280" w:lineRule="atLeast"/>
        <w:rPr>
          <w:sz w:val="28"/>
          <w:szCs w:val="28"/>
        </w:rPr>
      </w:pPr>
      <w:r>
        <w:rPr>
          <w:sz w:val="28"/>
          <w:szCs w:val="28"/>
        </w:rPr>
        <w:t xml:space="preserve">S&amp;P index data: https://www.spglobal.com/spdji/en/indices/equity/sp-500/#overview </w:t>
      </w:r>
    </w:p>
    <w:p w14:paraId="3817EEB5" w14:textId="77777777" w:rsidR="00336A89" w:rsidRDefault="00336A89">
      <w:pPr>
        <w:pStyle w:val="Default"/>
        <w:spacing w:before="0"/>
        <w:rPr>
          <w:sz w:val="28"/>
          <w:szCs w:val="28"/>
        </w:rPr>
      </w:pPr>
    </w:p>
    <w:p w14:paraId="092D7810" w14:textId="77777777" w:rsidR="00336A89" w:rsidRDefault="000D22C6">
      <w:pPr>
        <w:pStyle w:val="Default"/>
        <w:spacing w:before="0"/>
        <w:rPr>
          <w:sz w:val="28"/>
          <w:szCs w:val="28"/>
        </w:rPr>
      </w:pPr>
      <w:r>
        <w:rPr>
          <w:sz w:val="28"/>
          <w:szCs w:val="28"/>
        </w:rPr>
        <w:t xml:space="preserve">https://www.marketwatch.com/investing/index/spx   </w:t>
      </w:r>
    </w:p>
    <w:p w14:paraId="3063BD47" w14:textId="77777777" w:rsidR="00336A89" w:rsidRDefault="00336A89">
      <w:pPr>
        <w:pStyle w:val="Default"/>
        <w:spacing w:before="0"/>
        <w:rPr>
          <w:sz w:val="28"/>
          <w:szCs w:val="28"/>
        </w:rPr>
      </w:pPr>
    </w:p>
    <w:p w14:paraId="7D6120DC" w14:textId="77777777" w:rsidR="00336A89" w:rsidRDefault="000D22C6">
      <w:pPr>
        <w:pStyle w:val="Default"/>
        <w:spacing w:before="0"/>
        <w:rPr>
          <w:rFonts w:ascii="Times New Roman" w:eastAsia="Times New Roman" w:hAnsi="Times New Roman" w:cs="Times New Roman"/>
          <w:color w:val="004DC4"/>
          <w:sz w:val="28"/>
          <w:szCs w:val="28"/>
          <w:u w:val="single"/>
        </w:rPr>
      </w:pPr>
      <w:r>
        <w:rPr>
          <w:sz w:val="28"/>
          <w:szCs w:val="28"/>
        </w:rPr>
        <w:t>Nasdaq index data:</w:t>
      </w:r>
    </w:p>
    <w:p w14:paraId="1236907C" w14:textId="77777777" w:rsidR="00336A89" w:rsidRDefault="00336A89">
      <w:pPr>
        <w:pStyle w:val="Default"/>
        <w:spacing w:before="0"/>
        <w:rPr>
          <w:rFonts w:ascii="Times New Roman" w:eastAsia="Times New Roman" w:hAnsi="Times New Roman" w:cs="Times New Roman"/>
          <w:color w:val="004DC4"/>
          <w:sz w:val="28"/>
          <w:szCs w:val="28"/>
          <w:u w:val="single"/>
        </w:rPr>
      </w:pPr>
    </w:p>
    <w:p w14:paraId="5251A290" w14:textId="77777777" w:rsidR="00336A89" w:rsidRDefault="000D22C6">
      <w:pPr>
        <w:pStyle w:val="Default"/>
        <w:spacing w:before="0"/>
        <w:rPr>
          <w:sz w:val="28"/>
          <w:szCs w:val="28"/>
        </w:rPr>
      </w:pPr>
      <w:hyperlink r:id="rId8" w:history="1">
        <w:r>
          <w:rPr>
            <w:rStyle w:val="Hyperlink0"/>
            <w:sz w:val="28"/>
            <w:szCs w:val="28"/>
          </w:rPr>
          <w:t>http://quotes.morningstar.com</w:t>
        </w:r>
        <w:r>
          <w:rPr>
            <w:rStyle w:val="Hyperlink0"/>
            <w:sz w:val="28"/>
            <w:szCs w:val="28"/>
          </w:rPr>
          <w:t>/indexquote/quote.html?t=COMP</w:t>
        </w:r>
      </w:hyperlink>
    </w:p>
    <w:p w14:paraId="20D64D06" w14:textId="77777777" w:rsidR="00336A89" w:rsidRDefault="00336A89">
      <w:pPr>
        <w:pStyle w:val="Default"/>
        <w:spacing w:before="0"/>
        <w:rPr>
          <w:sz w:val="28"/>
          <w:szCs w:val="28"/>
        </w:rPr>
      </w:pPr>
    </w:p>
    <w:p w14:paraId="5855A96F" w14:textId="77777777" w:rsidR="00336A89" w:rsidRDefault="000D22C6">
      <w:pPr>
        <w:pStyle w:val="Default"/>
        <w:spacing w:before="0"/>
        <w:rPr>
          <w:sz w:val="28"/>
          <w:szCs w:val="28"/>
        </w:rPr>
      </w:pPr>
      <w:hyperlink r:id="rId9" w:history="1">
        <w:r>
          <w:rPr>
            <w:rStyle w:val="Hyperlink0"/>
            <w:sz w:val="28"/>
            <w:szCs w:val="28"/>
          </w:rPr>
          <w:t>http://www.nasdaq.com/markets/indices/nasdaq-total-returns.aspx</w:t>
        </w:r>
      </w:hyperlink>
    </w:p>
    <w:p w14:paraId="6951E163" w14:textId="77777777" w:rsidR="00336A89" w:rsidRDefault="00336A89">
      <w:pPr>
        <w:pStyle w:val="Default"/>
        <w:spacing w:before="0"/>
        <w:rPr>
          <w:sz w:val="28"/>
          <w:szCs w:val="28"/>
        </w:rPr>
      </w:pPr>
    </w:p>
    <w:p w14:paraId="0540798C" w14:textId="77777777" w:rsidR="00336A89" w:rsidRDefault="000D22C6">
      <w:pPr>
        <w:pStyle w:val="Default"/>
        <w:spacing w:before="0"/>
        <w:rPr>
          <w:rFonts w:ascii="Times New Roman" w:eastAsia="Times New Roman" w:hAnsi="Times New Roman" w:cs="Times New Roman"/>
          <w:sz w:val="28"/>
          <w:szCs w:val="28"/>
        </w:rPr>
      </w:pPr>
      <w:proofErr w:type="spellStart"/>
      <w:r>
        <w:rPr>
          <w:sz w:val="28"/>
          <w:szCs w:val="28"/>
          <w:lang w:val="pt-PT"/>
        </w:rPr>
        <w:t>International</w:t>
      </w:r>
      <w:proofErr w:type="spellEnd"/>
      <w:r>
        <w:rPr>
          <w:sz w:val="28"/>
          <w:szCs w:val="28"/>
          <w:lang w:val="pt-PT"/>
        </w:rPr>
        <w:t xml:space="preserve"> </w:t>
      </w:r>
      <w:proofErr w:type="spellStart"/>
      <w:r>
        <w:rPr>
          <w:sz w:val="28"/>
          <w:szCs w:val="28"/>
          <w:lang w:val="pt-PT"/>
        </w:rPr>
        <w:t>indices</w:t>
      </w:r>
      <w:proofErr w:type="spellEnd"/>
      <w:r>
        <w:rPr>
          <w:sz w:val="28"/>
          <w:szCs w:val="28"/>
          <w:lang w:val="pt-PT"/>
        </w:rPr>
        <w:t xml:space="preserve">: </w:t>
      </w:r>
      <w:hyperlink r:id="rId10" w:history="1">
        <w:r>
          <w:rPr>
            <w:rStyle w:val="Hyperlink0"/>
            <w:sz w:val="28"/>
            <w:szCs w:val="28"/>
          </w:rPr>
          <w:t>https://www.msci.com/end-of-day-data-search</w:t>
        </w:r>
      </w:hyperlink>
    </w:p>
    <w:p w14:paraId="15839686" w14:textId="77777777" w:rsidR="00336A89" w:rsidRDefault="00336A89">
      <w:pPr>
        <w:pStyle w:val="Default"/>
        <w:spacing w:before="0"/>
        <w:rPr>
          <w:sz w:val="28"/>
          <w:szCs w:val="28"/>
        </w:rPr>
      </w:pPr>
    </w:p>
    <w:p w14:paraId="74326207" w14:textId="77777777" w:rsidR="00336A89" w:rsidRDefault="000D22C6">
      <w:pPr>
        <w:pStyle w:val="Default"/>
        <w:spacing w:before="0"/>
        <w:rPr>
          <w:sz w:val="28"/>
          <w:szCs w:val="28"/>
        </w:rPr>
      </w:pPr>
      <w:r>
        <w:rPr>
          <w:sz w:val="28"/>
          <w:szCs w:val="28"/>
        </w:rPr>
        <w:t xml:space="preserve">Commodities index data: </w:t>
      </w:r>
    </w:p>
    <w:p w14:paraId="4BE78E18" w14:textId="77777777" w:rsidR="00336A89" w:rsidRDefault="00336A89">
      <w:pPr>
        <w:pStyle w:val="Default"/>
        <w:spacing w:before="0"/>
        <w:rPr>
          <w:sz w:val="28"/>
          <w:szCs w:val="28"/>
        </w:rPr>
      </w:pPr>
    </w:p>
    <w:p w14:paraId="0D4309C3" w14:textId="77777777" w:rsidR="00336A89" w:rsidRDefault="000D22C6">
      <w:pPr>
        <w:pStyle w:val="Default"/>
        <w:spacing w:before="0"/>
        <w:rPr>
          <w:sz w:val="28"/>
          <w:szCs w:val="28"/>
        </w:rPr>
      </w:pPr>
      <w:r>
        <w:rPr>
          <w:sz w:val="28"/>
          <w:szCs w:val="28"/>
        </w:rPr>
        <w:t xml:space="preserve">https://www.spglobal.com/spdji/en/index-family/commodities/broad/#overview </w:t>
      </w:r>
    </w:p>
    <w:p w14:paraId="5FDA258D" w14:textId="77777777" w:rsidR="00336A89" w:rsidRDefault="00336A89">
      <w:pPr>
        <w:pStyle w:val="Default"/>
        <w:spacing w:before="0"/>
        <w:rPr>
          <w:sz w:val="28"/>
          <w:szCs w:val="28"/>
        </w:rPr>
      </w:pPr>
    </w:p>
    <w:p w14:paraId="4EDF7667" w14:textId="77777777" w:rsidR="00336A89" w:rsidRDefault="000D22C6">
      <w:pPr>
        <w:pStyle w:val="Default"/>
        <w:spacing w:before="0"/>
        <w:rPr>
          <w:sz w:val="28"/>
          <w:szCs w:val="28"/>
        </w:rPr>
      </w:pPr>
      <w:r>
        <w:rPr>
          <w:sz w:val="28"/>
          <w:szCs w:val="28"/>
        </w:rPr>
        <w:t xml:space="preserve">Treasury market rates: </w:t>
      </w:r>
      <w:hyperlink r:id="rId11" w:history="1">
        <w:r>
          <w:rPr>
            <w:rStyle w:val="Hyperlink0"/>
            <w:color w:val="004DC4"/>
            <w:sz w:val="28"/>
            <w:szCs w:val="28"/>
          </w:rPr>
          <w:t>http://www.bloomberg.com/markets/rates-bonds/government-bonds/us/</w:t>
        </w:r>
      </w:hyperlink>
    </w:p>
    <w:p w14:paraId="6DCE21A3" w14:textId="77777777" w:rsidR="00336A89" w:rsidRDefault="00336A89">
      <w:pPr>
        <w:pStyle w:val="Default"/>
        <w:spacing w:before="0"/>
        <w:rPr>
          <w:sz w:val="28"/>
          <w:szCs w:val="28"/>
        </w:rPr>
      </w:pPr>
    </w:p>
    <w:p w14:paraId="17ED4A5A" w14:textId="77777777" w:rsidR="00336A89" w:rsidRDefault="000D22C6">
      <w:pPr>
        <w:pStyle w:val="Default"/>
        <w:spacing w:before="0"/>
        <w:rPr>
          <w:sz w:val="28"/>
          <w:szCs w:val="28"/>
        </w:rPr>
      </w:pPr>
      <w:r>
        <w:rPr>
          <w:sz w:val="28"/>
          <w:szCs w:val="28"/>
        </w:rPr>
        <w:t xml:space="preserve">Bond rates: </w:t>
      </w:r>
    </w:p>
    <w:p w14:paraId="054A13F9" w14:textId="77777777" w:rsidR="00336A89" w:rsidRDefault="00336A89">
      <w:pPr>
        <w:pStyle w:val="Default"/>
        <w:spacing w:before="0"/>
        <w:rPr>
          <w:sz w:val="28"/>
          <w:szCs w:val="28"/>
        </w:rPr>
      </w:pPr>
    </w:p>
    <w:p w14:paraId="6DD53ACB" w14:textId="269FBCD2" w:rsidR="00336A89" w:rsidRDefault="000D22C6">
      <w:pPr>
        <w:pStyle w:val="Default"/>
        <w:spacing w:before="0"/>
        <w:rPr>
          <w:color w:val="004DC4"/>
          <w:sz w:val="28"/>
          <w:szCs w:val="28"/>
          <w:u w:val="single"/>
        </w:rPr>
      </w:pPr>
      <w:hyperlink r:id="rId12" w:history="1">
        <w:r>
          <w:rPr>
            <w:rStyle w:val="Hyperlink0"/>
            <w:color w:val="004DC4"/>
            <w:sz w:val="28"/>
            <w:szCs w:val="28"/>
          </w:rPr>
          <w:t>http://www.bloomberg.com/markets/rates-bonds/corporate-bonds/</w:t>
        </w:r>
      </w:hyperlink>
    </w:p>
    <w:p w14:paraId="283D7B54" w14:textId="77777777" w:rsidR="00336A89" w:rsidRDefault="00336A89">
      <w:pPr>
        <w:pStyle w:val="Default"/>
        <w:spacing w:before="0"/>
        <w:rPr>
          <w:color w:val="004DC4"/>
          <w:sz w:val="28"/>
          <w:szCs w:val="28"/>
          <w:u w:val="single"/>
        </w:rPr>
      </w:pPr>
    </w:p>
    <w:p w14:paraId="0E3BD36C" w14:textId="3BCC45D4" w:rsidR="00B5248B" w:rsidRDefault="00DC4E1F">
      <w:pPr>
        <w:pStyle w:val="Default"/>
        <w:spacing w:before="0" w:after="372" w:line="500" w:lineRule="atLeast"/>
        <w:rPr>
          <w:rFonts w:ascii="Helvetica Neue" w:hAnsi="Helvetica Neue"/>
          <w:color w:val="333333"/>
          <w:sz w:val="28"/>
          <w:szCs w:val="28"/>
          <w:shd w:val="clear" w:color="auto" w:fill="FFFFFF"/>
        </w:rPr>
      </w:pPr>
      <w:hyperlink r:id="rId13" w:history="1">
        <w:r>
          <w:rPr>
            <w:sz w:val="20"/>
            <w:szCs w:val="20"/>
            <w:u w:val="single" w:color="000000"/>
          </w:rPr>
          <w:t>https://www.advisorperspectives.com/articles/2022/12/19/fourth-quarter-2022-economic-review-and-outlook</w:t>
        </w:r>
      </w:hyperlink>
      <w:r>
        <w:rPr>
          <w:rFonts w:ascii="Times" w:hAnsi="Times" w:cs="Times"/>
          <w:sz w:val="28"/>
          <w:szCs w:val="28"/>
        </w:rPr>
        <w:t xml:space="preserve"> </w:t>
      </w:r>
      <w:r w:rsidR="00B5248B" w:rsidRPr="00B5248B">
        <w:rPr>
          <w:rFonts w:ascii="Helvetica Neue" w:hAnsi="Helvetica Neue"/>
          <w:color w:val="333333"/>
          <w:sz w:val="28"/>
          <w:szCs w:val="28"/>
          <w:shd w:val="clear" w:color="auto" w:fill="FFFFFF"/>
        </w:rPr>
        <w:t>https://www.reuters.com/markets/us/futures-slip-last-trading-day-torrid-year-2022-12-30/</w:t>
      </w:r>
    </w:p>
    <w:p w14:paraId="02D51E16" w14:textId="77777777" w:rsidR="00B5248B" w:rsidRDefault="00B5248B">
      <w:pPr>
        <w:pStyle w:val="Default"/>
        <w:spacing w:before="0" w:after="372" w:line="500" w:lineRule="atLeast"/>
        <w:rPr>
          <w:rFonts w:ascii="Helvetica Neue" w:hAnsi="Helvetica Neue"/>
          <w:color w:val="333333"/>
          <w:sz w:val="28"/>
          <w:szCs w:val="28"/>
          <w:shd w:val="clear" w:color="auto" w:fill="FFFFFF"/>
        </w:rPr>
      </w:pPr>
    </w:p>
    <w:p w14:paraId="3DD8E976" w14:textId="282A88F6" w:rsidR="00336A89" w:rsidRDefault="000D22C6">
      <w:pPr>
        <w:pStyle w:val="Default"/>
        <w:spacing w:before="0" w:after="372" w:line="500" w:lineRule="atLeast"/>
      </w:pPr>
      <w:r>
        <w:rPr>
          <w:rFonts w:ascii="Helvetica Neue" w:hAnsi="Helvetica Neue"/>
          <w:color w:val="333333"/>
          <w:sz w:val="28"/>
          <w:szCs w:val="28"/>
          <w:shd w:val="clear" w:color="auto" w:fill="FFFFFF"/>
        </w:rPr>
        <w:t xml:space="preserve"> </w:t>
      </w:r>
    </w:p>
    <w:sectPr w:rsidR="00336A89">
      <w:headerReference w:type="default" r:id="rId14"/>
      <w:foot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8B8AC" w14:textId="77777777" w:rsidR="000D22C6" w:rsidRDefault="000D22C6">
      <w:r>
        <w:separator/>
      </w:r>
    </w:p>
  </w:endnote>
  <w:endnote w:type="continuationSeparator" w:id="0">
    <w:p w14:paraId="1EFF001B" w14:textId="77777777" w:rsidR="000D22C6" w:rsidRDefault="000D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5FDF" w14:textId="77777777" w:rsidR="00336A89" w:rsidRDefault="00336A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7D206" w14:textId="77777777" w:rsidR="000D22C6" w:rsidRDefault="000D22C6">
      <w:r>
        <w:separator/>
      </w:r>
    </w:p>
  </w:footnote>
  <w:footnote w:type="continuationSeparator" w:id="0">
    <w:p w14:paraId="06ABD94D" w14:textId="77777777" w:rsidR="000D22C6" w:rsidRDefault="000D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9BED" w14:textId="77777777" w:rsidR="00336A89" w:rsidRDefault="00336A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89"/>
    <w:rsid w:val="000D22C6"/>
    <w:rsid w:val="00176F16"/>
    <w:rsid w:val="00287B82"/>
    <w:rsid w:val="00336A89"/>
    <w:rsid w:val="004C71CE"/>
    <w:rsid w:val="008F27E2"/>
    <w:rsid w:val="00B252B7"/>
    <w:rsid w:val="00B5248B"/>
    <w:rsid w:val="00CE3048"/>
    <w:rsid w:val="00CF36D9"/>
    <w:rsid w:val="00DC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B25833"/>
  <w15:docId w15:val="{1EF8648E-305F-984B-B176-63AC1D49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Times Roman" w:hAnsi="Times Roman" w:cs="Arial Unicode MS"/>
      <w:color w:val="000000"/>
      <w:sz w:val="30"/>
      <w:szCs w:val="30"/>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Hyperlink1">
    <w:name w:val="Hyperlink.1"/>
    <w:basedOn w:val="Hyperlink0"/>
    <w:rPr>
      <w:rFonts w:ascii="Times Roman" w:eastAsia="Times Roman" w:hAnsi="Times Roman" w:cs="Times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quotes.morningstar.com/indexquote/quote.html?t=COMP" TargetMode="External"/><Relationship Id="rId13" Type="http://schemas.openxmlformats.org/officeDocument/2006/relationships/hyperlink" Target="https://www.advisorperspectives.com/articles/2022/12/19/fourth-quarter-2022-economic-review-and-outlook" TargetMode="External"/><Relationship Id="rId3" Type="http://schemas.openxmlformats.org/officeDocument/2006/relationships/webSettings" Target="webSettings.xml"/><Relationship Id="rId7" Type="http://schemas.openxmlformats.org/officeDocument/2006/relationships/hyperlink" Target="http://www.ftse.com/products/indices/russell-us" TargetMode="External"/><Relationship Id="rId12" Type="http://schemas.openxmlformats.org/officeDocument/2006/relationships/hyperlink" Target="http://www.bloomberg.com/markets/rates-bonds/corporate-bond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ilshire.com/Indexes/calculator/" TargetMode="External"/><Relationship Id="rId11" Type="http://schemas.openxmlformats.org/officeDocument/2006/relationships/hyperlink" Target="http://www.bloomberg.com/markets/rates-bonds/government-bonds/u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msci.com/end-of-day-data-search" TargetMode="External"/><Relationship Id="rId4" Type="http://schemas.openxmlformats.org/officeDocument/2006/relationships/footnotes" Target="footnotes.xml"/><Relationship Id="rId9" Type="http://schemas.openxmlformats.org/officeDocument/2006/relationships/hyperlink" Target="http://www.nasdaq.com/markets/indices/nasdaq-total-returns.aspx"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800" b="0" i="0" u="none" strike="noStrike" cap="none" spc="0" normalizeH="0" baseline="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Veres</cp:lastModifiedBy>
  <cp:revision>4</cp:revision>
  <dcterms:created xsi:type="dcterms:W3CDTF">2023-01-01T15:06:00Z</dcterms:created>
  <dcterms:modified xsi:type="dcterms:W3CDTF">2023-01-01T16:29:00Z</dcterms:modified>
</cp:coreProperties>
</file>