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Should You Buy Long-Term Care Insurance?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When</w:t>
      </w:r>
      <w:r>
        <w:rPr>
          <w:sz w:val="28"/>
          <w:szCs w:val="28"/>
          <w:rtl w:val="0"/>
          <w:lang w:val="en-US"/>
        </w:rPr>
        <w:t>ever financial planners</w:t>
      </w:r>
      <w:r>
        <w:rPr>
          <w:sz w:val="28"/>
          <w:szCs w:val="28"/>
          <w:rtl w:val="0"/>
          <w:lang w:val="en-US"/>
        </w:rPr>
        <w:t xml:space="preserve"> model the sustainability of a person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en-US"/>
        </w:rPr>
        <w:t xml:space="preserve">s retirement asserts, the Big Unknown is long-term care expenses.  </w:t>
      </w:r>
      <w:r>
        <w:rPr>
          <w:sz w:val="28"/>
          <w:szCs w:val="28"/>
          <w:rtl w:val="0"/>
          <w:lang w:val="en-US"/>
        </w:rPr>
        <w:t>These costs are not covered under the Medicare policy</w:t>
      </w:r>
      <w:r>
        <w:rPr>
          <w:sz w:val="28"/>
          <w:szCs w:val="28"/>
          <w:rtl w:val="0"/>
          <w:lang w:val="en-US"/>
        </w:rPr>
        <w:t>—</w:t>
      </w:r>
      <w:r>
        <w:rPr>
          <w:sz w:val="28"/>
          <w:szCs w:val="28"/>
          <w:rtl w:val="0"/>
          <w:lang w:val="en-US"/>
        </w:rPr>
        <w:t xml:space="preserve">and they are not trivial.  </w:t>
      </w:r>
      <w:r>
        <w:rPr>
          <w:sz w:val="28"/>
          <w:szCs w:val="28"/>
          <w:rtl w:val="0"/>
          <w:lang w:val="en-US"/>
        </w:rPr>
        <w:t>The median cost of a private room is now over $</w:t>
      </w:r>
      <w:r>
        <w:rPr>
          <w:sz w:val="28"/>
          <w:szCs w:val="28"/>
          <w:rtl w:val="0"/>
          <w:lang w:val="en-US"/>
        </w:rPr>
        <w:t>9,500</w:t>
      </w:r>
      <w:r>
        <w:rPr>
          <w:sz w:val="28"/>
          <w:szCs w:val="28"/>
          <w:rtl w:val="0"/>
        </w:rPr>
        <w:t xml:space="preserve"> a </w:t>
      </w:r>
      <w:r>
        <w:rPr>
          <w:sz w:val="28"/>
          <w:szCs w:val="28"/>
          <w:rtl w:val="0"/>
          <w:lang w:val="en-US"/>
        </w:rPr>
        <w:t>month</w:t>
      </w:r>
      <w:r>
        <w:rPr>
          <w:sz w:val="28"/>
          <w:szCs w:val="28"/>
          <w:rtl w:val="0"/>
          <w:lang w:val="en-US"/>
        </w:rPr>
        <w:t xml:space="preserve">, according to </w:t>
      </w:r>
      <w:r>
        <w:rPr>
          <w:rStyle w:val="Hyperlink.0"/>
          <w:sz w:val="28"/>
          <w:szCs w:val="28"/>
          <w:rtl w:val="0"/>
        </w:rPr>
        <w:fldChar w:fldCharType="begin" w:fldLock="0"/>
      </w:r>
      <w:r>
        <w:rPr>
          <w:rStyle w:val="Hyperlink.0"/>
          <w:sz w:val="28"/>
          <w:szCs w:val="28"/>
          <w:rtl w:val="0"/>
        </w:rPr>
        <w:instrText xml:space="preserve"> HYPERLINK "http://SeniorLiving.org"</w:instrText>
      </w:r>
      <w:r>
        <w:rPr>
          <w:rStyle w:val="Hyperlink.0"/>
          <w:sz w:val="28"/>
          <w:szCs w:val="28"/>
          <w:rtl w:val="0"/>
        </w:rPr>
        <w:fldChar w:fldCharType="separate" w:fldLock="0"/>
      </w:r>
      <w:r>
        <w:rPr>
          <w:rStyle w:val="Hyperlink.0"/>
          <w:sz w:val="28"/>
          <w:szCs w:val="28"/>
          <w:rtl w:val="0"/>
          <w:lang w:val="en-US"/>
        </w:rPr>
        <w:t>SeniorLiving.org</w:t>
      </w:r>
      <w:r>
        <w:rPr>
          <w:sz w:val="28"/>
          <w:szCs w:val="28"/>
          <w:rtl w:val="0"/>
        </w:rPr>
        <w:fldChar w:fldCharType="end" w:fldLock="0"/>
      </w:r>
      <w:r>
        <w:rPr>
          <w:sz w:val="28"/>
          <w:szCs w:val="28"/>
          <w:rtl w:val="0"/>
          <w:lang w:val="en-US"/>
        </w:rPr>
        <w:t>.  T</w:t>
      </w:r>
      <w:r>
        <w:rPr>
          <w:sz w:val="28"/>
          <w:szCs w:val="28"/>
          <w:rtl w:val="0"/>
          <w:lang w:val="en-US"/>
        </w:rPr>
        <w:t>he median annual cost of a home health aide is over $50,000</w:t>
      </w:r>
      <w:r>
        <w:rPr>
          <w:sz w:val="28"/>
          <w:szCs w:val="28"/>
          <w:rtl w:val="0"/>
          <w:lang w:val="en-US"/>
        </w:rPr>
        <w:t xml:space="preserve"> a year</w:t>
      </w:r>
      <w:r>
        <w:rPr>
          <w:sz w:val="28"/>
          <w:szCs w:val="28"/>
          <w:rtl w:val="0"/>
        </w:rPr>
        <w:t xml:space="preserve">.  </w:t>
      </w:r>
      <w:r>
        <w:rPr>
          <w:sz w:val="28"/>
          <w:szCs w:val="28"/>
          <w:rtl w:val="0"/>
          <w:lang w:val="en-US"/>
        </w:rPr>
        <w:t>The Senior Living website provides average costs in different states, and they vary considerably: more than $33,000 a month in Alaska, just over $6,000 a month in Louisiana.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The challenge is that most</w:t>
      </w:r>
      <w:r>
        <w:rPr>
          <w:sz w:val="28"/>
          <w:szCs w:val="28"/>
          <w:rtl w:val="0"/>
          <w:lang w:val="en-US"/>
        </w:rPr>
        <w:t xml:space="preserve"> retirees</w:t>
      </w:r>
      <w:r>
        <w:rPr>
          <w:sz w:val="28"/>
          <w:szCs w:val="28"/>
          <w:rtl w:val="0"/>
          <w:lang w:val="en-US"/>
        </w:rPr>
        <w:t xml:space="preserve"> won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t be plagued by dementia or other handicaps,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 xml:space="preserve">but an estimated 7 out of ten will spend some time in a facility, and there is no way of knowing which of us </w:t>
      </w:r>
      <w:r>
        <w:rPr>
          <w:sz w:val="28"/>
          <w:szCs w:val="28"/>
          <w:rtl w:val="0"/>
          <w:lang w:val="en-US"/>
        </w:rPr>
        <w:t>may be looking at half a million dollars or more</w:t>
      </w:r>
      <w:r>
        <w:rPr>
          <w:sz w:val="28"/>
          <w:szCs w:val="28"/>
          <w:rtl w:val="0"/>
          <w:lang w:val="en-US"/>
        </w:rPr>
        <w:t xml:space="preserve"> of these unexpected expenses.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T</w:t>
      </w:r>
      <w:r>
        <w:rPr>
          <w:sz w:val="28"/>
          <w:szCs w:val="28"/>
          <w:rtl w:val="0"/>
          <w:lang w:val="en-US"/>
        </w:rPr>
        <w:t>he government</w:t>
      </w:r>
      <w:r>
        <w:rPr>
          <w:sz w:val="28"/>
          <w:szCs w:val="28"/>
          <w:rtl w:val="0"/>
          <w:lang w:val="en-US"/>
        </w:rPr>
        <w:t xml:space="preserve"> and state programs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can</w:t>
      </w:r>
      <w:r>
        <w:rPr>
          <w:sz w:val="28"/>
          <w:szCs w:val="28"/>
          <w:rtl w:val="0"/>
          <w:lang w:val="en-US"/>
        </w:rPr>
        <w:t xml:space="preserve"> cover</w:t>
      </w:r>
      <w:r>
        <w:rPr>
          <w:sz w:val="28"/>
          <w:szCs w:val="28"/>
          <w:rtl w:val="0"/>
          <w:lang w:val="en-US"/>
        </w:rPr>
        <w:t xml:space="preserve"> some</w:t>
      </w:r>
      <w:r>
        <w:rPr>
          <w:sz w:val="28"/>
          <w:szCs w:val="28"/>
          <w:rtl w:val="0"/>
          <w:lang w:val="en-US"/>
        </w:rPr>
        <w:t xml:space="preserve"> long-term care costs</w:t>
      </w:r>
      <w:r>
        <w:rPr>
          <w:sz w:val="28"/>
          <w:szCs w:val="28"/>
          <w:rtl w:val="0"/>
          <w:lang w:val="en-US"/>
        </w:rPr>
        <w:t>, but the Medicaid coverage only becomes available</w:t>
      </w:r>
      <w:r>
        <w:rPr>
          <w:sz w:val="28"/>
          <w:szCs w:val="28"/>
          <w:rtl w:val="0"/>
          <w:lang w:val="en-US"/>
        </w:rPr>
        <w:t xml:space="preserve"> when a retiree has largely exhausted his or her other</w:t>
      </w:r>
      <w:r>
        <w:rPr>
          <w:sz w:val="28"/>
          <w:szCs w:val="28"/>
          <w:rtl w:val="0"/>
          <w:lang w:val="en-US"/>
        </w:rPr>
        <w:t xml:space="preserve"> financial</w:t>
      </w:r>
      <w:r>
        <w:rPr>
          <w:sz w:val="28"/>
          <w:szCs w:val="28"/>
          <w:rtl w:val="0"/>
          <w:lang w:val="en-US"/>
        </w:rPr>
        <w:t xml:space="preserve"> resources,</w:t>
      </w:r>
      <w:r>
        <w:rPr>
          <w:sz w:val="28"/>
          <w:szCs w:val="28"/>
          <w:rtl w:val="0"/>
          <w:lang w:val="en-US"/>
        </w:rPr>
        <w:t xml:space="preserve"> and anecdotal evidence suggests that the least attractive</w:t>
      </w:r>
      <w:r>
        <w:rPr>
          <w:sz w:val="28"/>
          <w:szCs w:val="28"/>
          <w:rtl w:val="0"/>
          <w:lang w:val="en-US"/>
        </w:rPr>
        <w:t xml:space="preserve"> facilities</w:t>
      </w:r>
      <w:r>
        <w:rPr>
          <w:sz w:val="28"/>
          <w:szCs w:val="28"/>
          <w:rtl w:val="0"/>
          <w:lang w:val="en-US"/>
        </w:rPr>
        <w:t xml:space="preserve"> are the ones</w:t>
      </w:r>
      <w:r>
        <w:rPr>
          <w:sz w:val="28"/>
          <w:szCs w:val="28"/>
          <w:rtl w:val="0"/>
          <w:lang w:val="en-US"/>
        </w:rPr>
        <w:t xml:space="preserve"> that accept government payments. 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R</w:t>
      </w:r>
      <w:r>
        <w:rPr>
          <w:sz w:val="28"/>
          <w:szCs w:val="28"/>
          <w:rtl w:val="0"/>
          <w:lang w:val="en-US"/>
        </w:rPr>
        <w:t xml:space="preserve">etirees can </w:t>
      </w:r>
      <w:r>
        <w:rPr>
          <w:sz w:val="28"/>
          <w:szCs w:val="28"/>
          <w:rtl w:val="0"/>
          <w:lang w:val="en-US"/>
        </w:rPr>
        <w:t>insure against</w:t>
      </w:r>
      <w:r>
        <w:rPr>
          <w:sz w:val="28"/>
          <w:szCs w:val="28"/>
          <w:rtl w:val="0"/>
          <w:lang w:val="en-US"/>
        </w:rPr>
        <w:t xml:space="preserve"> any future long-term care costs with long-term care insurance</w:t>
      </w:r>
      <w:r>
        <w:rPr>
          <w:sz w:val="28"/>
          <w:szCs w:val="28"/>
          <w:rtl w:val="0"/>
          <w:lang w:val="en-US"/>
        </w:rPr>
        <w:t>, but it might pay to shop early</w:t>
      </w:r>
      <w:r>
        <w:rPr>
          <w:sz w:val="28"/>
          <w:szCs w:val="28"/>
          <w:rtl w:val="0"/>
          <w:lang w:val="en-US"/>
        </w:rPr>
        <w:t xml:space="preserve">.  The average annual premium for a 55-year-old </w:t>
      </w:r>
      <w:r>
        <w:rPr>
          <w:sz w:val="28"/>
          <w:szCs w:val="28"/>
          <w:rtl w:val="0"/>
          <w:lang w:val="en-US"/>
        </w:rPr>
        <w:t>runs to roughly $3,000; that goes up to more than $50,000 for an 82-year-old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en-US"/>
        </w:rPr>
        <w:t xml:space="preserve">  There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 xml:space="preserve">s a calculator showing different premiums and total benefits available in different states at: </w:t>
      </w:r>
      <w:r>
        <w:rPr>
          <w:sz w:val="28"/>
          <w:szCs w:val="28"/>
          <w:rtl w:val="0"/>
          <w:lang w:val="en-US"/>
        </w:rPr>
        <w:t>https://ltcr.com/calculator/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Some people avoid paying long-term care premiums because the money they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en-US"/>
        </w:rPr>
        <w:t xml:space="preserve">re paying for coverage will be lost if </w:t>
      </w:r>
      <w:r>
        <w:rPr>
          <w:sz w:val="28"/>
          <w:szCs w:val="28"/>
          <w:rtl w:val="0"/>
          <w:lang w:val="en-US"/>
        </w:rPr>
        <w:t>they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re one of the lucky ones who</w:t>
      </w:r>
      <w:r>
        <w:rPr>
          <w:sz w:val="28"/>
          <w:szCs w:val="28"/>
          <w:rtl w:val="0"/>
          <w:lang w:val="en-US"/>
        </w:rPr>
        <w:t xml:space="preserve"> never have to move into a nursing facility or pay for skilled in-home care.  But those same people buy home and auto insurance policies that will cover catastrophic losses, and (thankfully) in nearly all years, the money spent on those premiums doesn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en-US"/>
        </w:rPr>
        <w:t>t result in an insurance payout.  Insurance is there for peace of mind.  The real question that people should be asking themselves is: does it make sense to protect against the biggest unknown expense in a retirement plan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en-US"/>
        </w:rPr>
        <w:t>s later years?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Source: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0432ff"/>
          <w:sz w:val="28"/>
          <w:szCs w:val="28"/>
          <w:u w:val="single"/>
          <w:rtl w:val="0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8"/>
          <w:szCs w:val="28"/>
          <w:u w:val="single"/>
          <w:rtl w:val="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8"/>
          <w:szCs w:val="28"/>
          <w:u w:val="single"/>
          <w:rtl w:val="0"/>
          <w14:textFill>
            <w14:solidFill>
              <w14:srgbClr w14:val="0433FF"/>
            </w14:solidFill>
          </w14:textFill>
        </w:rPr>
        <w:instrText xml:space="preserve"> HYPERLINK "https://www.seniorliving.org/nursing-homes/costs/"</w:instrText>
      </w:r>
      <w:r>
        <w:rPr>
          <w:rStyle w:val="Hyperlink.0"/>
          <w:outline w:val="0"/>
          <w:color w:val="0432ff"/>
          <w:sz w:val="28"/>
          <w:szCs w:val="28"/>
          <w:u w:val="single"/>
          <w:rtl w:val="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8"/>
          <w:szCs w:val="28"/>
          <w:u w:val="single"/>
          <w:rtl w:val="0"/>
          <w:lang w:val="en-US"/>
          <w14:textFill>
            <w14:solidFill>
              <w14:srgbClr w14:val="0433FF"/>
            </w14:solidFill>
          </w14:textFill>
        </w:rPr>
        <w:t>https://www.seniorliving.org/nursing-homes/costs/</w:t>
      </w:r>
      <w:r>
        <w:rPr>
          <w:outline w:val="0"/>
          <w:color w:val="0432ff"/>
          <w:sz w:val="28"/>
          <w:szCs w:val="28"/>
          <w:u w:val="single"/>
          <w:rtl w:val="0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0432ff"/>
          <w:sz w:val="28"/>
          <w:szCs w:val="28"/>
          <w:u w:val="single"/>
          <w:rtl w:val="0"/>
          <w14:textFill>
            <w14:solidFill>
              <w14:srgbClr w14:val="0433FF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0432ff"/>
          <w:sz w:val="28"/>
          <w:szCs w:val="28"/>
          <w:u w:val="single"/>
          <w:rtl w:val="0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8"/>
          <w:szCs w:val="28"/>
          <w:u w:val="single"/>
          <w:rtl w:val="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8"/>
          <w:szCs w:val="28"/>
          <w:u w:val="single"/>
          <w:rtl w:val="0"/>
          <w14:textFill>
            <w14:solidFill>
              <w14:srgbClr w14:val="0433FF"/>
            </w14:solidFill>
          </w14:textFill>
        </w:rPr>
        <w:instrText xml:space="preserve"> HYPERLINK "https://www.marketwatch.com/guides/insurance-services/long-term-care-insurance-cost-everything-you-need-to-know/"</w:instrText>
      </w:r>
      <w:r>
        <w:rPr>
          <w:rStyle w:val="Hyperlink.0"/>
          <w:outline w:val="0"/>
          <w:color w:val="0432ff"/>
          <w:sz w:val="28"/>
          <w:szCs w:val="28"/>
          <w:u w:val="single"/>
          <w:rtl w:val="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8"/>
          <w:szCs w:val="28"/>
          <w:u w:val="single"/>
          <w:rtl w:val="0"/>
          <w:lang w:val="en-US"/>
          <w14:textFill>
            <w14:solidFill>
              <w14:srgbClr w14:val="0433FF"/>
            </w14:solidFill>
          </w14:textFill>
        </w:rPr>
        <w:t>https://www.marketwatch.com/guides/insurance-services/long-term-care-insurance-cost-everything-you-need-to-know/</w:t>
      </w:r>
      <w:r>
        <w:rPr>
          <w:outline w:val="0"/>
          <w:color w:val="0432ff"/>
          <w:sz w:val="28"/>
          <w:szCs w:val="28"/>
          <w:u w:val="single"/>
          <w:rtl w:val="0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0432ff"/>
          <w:sz w:val="28"/>
          <w:szCs w:val="28"/>
          <w:u w:val="single"/>
          <w:rtl w:val="0"/>
          <w14:textFill>
            <w14:solidFill>
              <w14:srgbClr w14:val="0433FF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rtl w:val="0"/>
        </w:rPr>
      </w:pPr>
      <w:r>
        <w:rPr>
          <w:outline w:val="0"/>
          <w:color w:val="0432ff"/>
          <w:sz w:val="28"/>
          <w:szCs w:val="28"/>
          <w:u w:val="single"/>
          <w:rtl w:val="0"/>
          <w:lang w:val="en-US"/>
          <w14:textFill>
            <w14:solidFill>
              <w14:srgbClr w14:val="0433FF"/>
            </w14:solidFill>
          </w14:textFill>
        </w:rPr>
        <w:t>https://ltcr.com/calculator/</w:t>
      </w:r>
      <w:r>
        <w:rPr>
          <w:outline w:val="0"/>
          <w:color w:val="0432ff"/>
          <w:sz w:val="28"/>
          <w:szCs w:val="28"/>
          <w:u w:val="single"/>
          <w:rtl w:val="0"/>
          <w14:textFill>
            <w14:solidFill>
              <w14:srgbClr w14:val="0433FF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